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37CD" w14:textId="0BD57104" w:rsidR="00ED3167" w:rsidRPr="00C53527" w:rsidRDefault="00ED3167" w:rsidP="00C53527">
      <w:pPr>
        <w:pStyle w:val="Nadpis1"/>
        <w:rPr>
          <w:sz w:val="22"/>
          <w:szCs w:val="22"/>
        </w:rPr>
      </w:pPr>
      <w:proofErr w:type="spellStart"/>
      <w:r w:rsidRPr="00C53527">
        <w:rPr>
          <w:sz w:val="22"/>
          <w:szCs w:val="22"/>
        </w:rPr>
        <w:t>Medzilaboratórne</w:t>
      </w:r>
      <w:proofErr w:type="spellEnd"/>
      <w:r w:rsidRPr="00C53527">
        <w:rPr>
          <w:sz w:val="22"/>
          <w:szCs w:val="22"/>
        </w:rPr>
        <w:t xml:space="preserve"> porovnávacie merania (ML</w:t>
      </w:r>
      <w:r>
        <w:rPr>
          <w:sz w:val="22"/>
          <w:szCs w:val="22"/>
        </w:rPr>
        <w:t>P</w:t>
      </w:r>
      <w:r w:rsidRPr="00C53527">
        <w:rPr>
          <w:sz w:val="22"/>
          <w:szCs w:val="22"/>
        </w:rPr>
        <w:t xml:space="preserve">M)                </w:t>
      </w:r>
      <w:r w:rsidR="00684BEB">
        <w:rPr>
          <w:sz w:val="22"/>
          <w:szCs w:val="22"/>
        </w:rPr>
        <w:t xml:space="preserve"> Kódové označenie: MLPM KZ SR 0</w:t>
      </w:r>
      <w:r w:rsidR="00BE1EC5">
        <w:rPr>
          <w:sz w:val="22"/>
          <w:szCs w:val="22"/>
        </w:rPr>
        <w:t>8</w:t>
      </w:r>
      <w:r w:rsidRPr="00C53527">
        <w:rPr>
          <w:sz w:val="22"/>
          <w:szCs w:val="22"/>
        </w:rPr>
        <w:t>/</w:t>
      </w:r>
      <w:r w:rsidR="00832997">
        <w:rPr>
          <w:sz w:val="22"/>
          <w:szCs w:val="22"/>
        </w:rPr>
        <w:t>2</w:t>
      </w:r>
      <w:r w:rsidRPr="00C53527">
        <w:rPr>
          <w:sz w:val="22"/>
          <w:szCs w:val="22"/>
        </w:rPr>
        <w:t>1</w:t>
      </w:r>
    </w:p>
    <w:p w14:paraId="5C7C62AD" w14:textId="77777777" w:rsidR="009F4F7C" w:rsidRPr="009F4F7C" w:rsidRDefault="009F4F7C" w:rsidP="009F4F7C">
      <w:pPr>
        <w:shd w:val="clear" w:color="auto" w:fill="FFFFFF"/>
        <w:rPr>
          <w:b/>
          <w:sz w:val="28"/>
          <w:szCs w:val="28"/>
        </w:rPr>
      </w:pPr>
    </w:p>
    <w:p w14:paraId="2AE27153" w14:textId="77777777" w:rsidR="009F4F7C" w:rsidRPr="009F4F7C" w:rsidRDefault="009F4F7C" w:rsidP="009F4F7C">
      <w:pPr>
        <w:shd w:val="clear" w:color="auto" w:fill="FFFFFF"/>
        <w:jc w:val="center"/>
        <w:rPr>
          <w:b/>
          <w:caps/>
          <w:sz w:val="36"/>
          <w:u w:val="single"/>
        </w:rPr>
      </w:pPr>
      <w:r w:rsidRPr="009F4F7C">
        <w:rPr>
          <w:b/>
          <w:caps/>
          <w:sz w:val="36"/>
          <w:u w:val="single"/>
        </w:rPr>
        <w:t>Pokyny a informácie pre účastníkov MLPM</w:t>
      </w:r>
    </w:p>
    <w:p w14:paraId="4C2234E6" w14:textId="77777777" w:rsidR="009F4F7C" w:rsidRPr="009F4F7C" w:rsidRDefault="009F4F7C" w:rsidP="009F4F7C">
      <w:pPr>
        <w:shd w:val="clear" w:color="auto" w:fill="FFFFFF"/>
        <w:jc w:val="center"/>
        <w:rPr>
          <w:b/>
          <w:caps/>
          <w:sz w:val="24"/>
          <w:szCs w:val="24"/>
          <w:u w:val="single"/>
        </w:rPr>
      </w:pPr>
    </w:p>
    <w:p w14:paraId="57543ACA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1. Všeobecné informácie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401"/>
      </w:tblGrid>
      <w:tr w:rsidR="009F4F7C" w:rsidRPr="009F4F7C" w14:paraId="75BD689A" w14:textId="77777777" w:rsidTr="00E011D7">
        <w:tc>
          <w:tcPr>
            <w:tcW w:w="1701" w:type="dxa"/>
          </w:tcPr>
          <w:p w14:paraId="55602C0D" w14:textId="77777777" w:rsidR="009F4F7C" w:rsidRPr="009F4F7C" w:rsidRDefault="009F4F7C" w:rsidP="009F4F7C">
            <w:pPr>
              <w:shd w:val="clear" w:color="auto" w:fill="FFFFFF"/>
              <w:jc w:val="both"/>
            </w:pPr>
            <w:r w:rsidRPr="009F4F7C">
              <w:rPr>
                <w:b/>
                <w:sz w:val="24"/>
                <w:szCs w:val="24"/>
              </w:rPr>
              <w:t>Organizátor:</w:t>
            </w:r>
          </w:p>
        </w:tc>
        <w:tc>
          <w:tcPr>
            <w:tcW w:w="7401" w:type="dxa"/>
          </w:tcPr>
          <w:p w14:paraId="6586D24D" w14:textId="184C9A3F" w:rsidR="009F4F7C" w:rsidRPr="009F4F7C" w:rsidRDefault="00AD4289" w:rsidP="009F4F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Kalibračné združenie SR, </w:t>
            </w:r>
            <w:r w:rsidR="009F4F7C" w:rsidRPr="00600D55">
              <w:rPr>
                <w:color w:val="000000"/>
                <w:sz w:val="22"/>
                <w:szCs w:val="22"/>
              </w:rPr>
              <w:t>Karloveská 3263/</w:t>
            </w:r>
            <w:r w:rsidR="009F4F7C" w:rsidRPr="00600D55">
              <w:rPr>
                <w:sz w:val="22"/>
                <w:szCs w:val="22"/>
              </w:rPr>
              <w:t xml:space="preserve">63, P.O.BOX 048, </w:t>
            </w:r>
            <w:r w:rsidR="00E14F4E">
              <w:rPr>
                <w:sz w:val="22"/>
                <w:szCs w:val="22"/>
              </w:rPr>
              <w:t>84</w:t>
            </w:r>
            <w:r w:rsidR="00BE1EC5">
              <w:rPr>
                <w:sz w:val="22"/>
                <w:szCs w:val="22"/>
              </w:rPr>
              <w:t>1</w:t>
            </w:r>
            <w:r w:rsidR="00E14F4E">
              <w:rPr>
                <w:sz w:val="22"/>
                <w:szCs w:val="22"/>
              </w:rPr>
              <w:t xml:space="preserve"> 04</w:t>
            </w:r>
            <w:r w:rsidR="009F4F7C" w:rsidRPr="00600D55">
              <w:rPr>
                <w:color w:val="000000"/>
                <w:sz w:val="22"/>
                <w:szCs w:val="22"/>
              </w:rPr>
              <w:t xml:space="preserve"> Bratislava</w:t>
            </w:r>
            <w:r w:rsidR="009F4F7C">
              <w:rPr>
                <w:color w:val="000000"/>
                <w:sz w:val="22"/>
                <w:szCs w:val="22"/>
              </w:rPr>
              <w:t xml:space="preserve"> </w:t>
            </w:r>
          </w:p>
          <w:p w14:paraId="003EBD2D" w14:textId="77777777" w:rsidR="009F4F7C" w:rsidRPr="009F4F7C" w:rsidRDefault="009F4F7C" w:rsidP="007456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4F7C">
              <w:rPr>
                <w:sz w:val="24"/>
                <w:szCs w:val="24"/>
              </w:rPr>
              <w:t xml:space="preserve">Organizačný garant </w:t>
            </w:r>
            <w:r>
              <w:rPr>
                <w:sz w:val="24"/>
                <w:szCs w:val="24"/>
              </w:rPr>
              <w:t>za KZ SR</w:t>
            </w:r>
            <w:r w:rsidRPr="009F4F7C">
              <w:rPr>
                <w:sz w:val="24"/>
                <w:szCs w:val="24"/>
              </w:rPr>
              <w:t xml:space="preserve">: Eva </w:t>
            </w:r>
            <w:proofErr w:type="spellStart"/>
            <w:r w:rsidRPr="009F4F7C">
              <w:rPr>
                <w:sz w:val="24"/>
                <w:szCs w:val="24"/>
              </w:rPr>
              <w:t>Korbeľová</w:t>
            </w:r>
            <w:proofErr w:type="spellEnd"/>
            <w:r w:rsidR="007456FC">
              <w:rPr>
                <w:sz w:val="24"/>
                <w:szCs w:val="24"/>
              </w:rPr>
              <w:t xml:space="preserve">, </w:t>
            </w:r>
            <w:r w:rsidRPr="009F4F7C">
              <w:rPr>
                <w:sz w:val="24"/>
                <w:szCs w:val="24"/>
              </w:rPr>
              <w:t xml:space="preserve">mobil 0903 154 996 </w:t>
            </w:r>
          </w:p>
          <w:p w14:paraId="01EC1BBA" w14:textId="77777777" w:rsidR="009F4F7C" w:rsidRPr="009F4F7C" w:rsidRDefault="009F4F7C" w:rsidP="009F4F7C">
            <w:pPr>
              <w:rPr>
                <w:b/>
                <w:sz w:val="24"/>
                <w:szCs w:val="24"/>
              </w:rPr>
            </w:pPr>
            <w:r w:rsidRPr="009F4F7C">
              <w:rPr>
                <w:sz w:val="24"/>
                <w:szCs w:val="24"/>
              </w:rPr>
              <w:t xml:space="preserve">e-mail: </w:t>
            </w:r>
            <w:hyperlink r:id="rId8" w:history="1">
              <w:r w:rsidR="008C7A25" w:rsidRPr="004849E5">
                <w:rPr>
                  <w:rStyle w:val="Hypertextovprepojenie"/>
                  <w:sz w:val="24"/>
                </w:rPr>
                <w:t>mlpm@kzsr.sk</w:t>
              </w:r>
            </w:hyperlink>
            <w:r w:rsidRPr="009F4F7C">
              <w:rPr>
                <w:b/>
                <w:sz w:val="24"/>
                <w:szCs w:val="24"/>
              </w:rPr>
              <w:t xml:space="preserve">    </w:t>
            </w:r>
          </w:p>
          <w:p w14:paraId="59F060C6" w14:textId="77777777" w:rsidR="009F4F7C" w:rsidRPr="009F4F7C" w:rsidRDefault="009F4F7C" w:rsidP="009F4F7C">
            <w:pPr>
              <w:rPr>
                <w:sz w:val="10"/>
                <w:szCs w:val="10"/>
              </w:rPr>
            </w:pPr>
            <w:r w:rsidRPr="009F4F7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9F4F7C" w:rsidRPr="009F4F7C" w14:paraId="7CE2F9ED" w14:textId="77777777" w:rsidTr="000F37F0">
        <w:tc>
          <w:tcPr>
            <w:tcW w:w="1701" w:type="dxa"/>
          </w:tcPr>
          <w:p w14:paraId="7E62D04E" w14:textId="77777777" w:rsidR="009F4F7C" w:rsidRPr="009F4F7C" w:rsidRDefault="009F4F7C" w:rsidP="009F4F7C">
            <w:r w:rsidRPr="009F4F7C">
              <w:rPr>
                <w:b/>
                <w:bCs/>
                <w:sz w:val="24"/>
                <w:szCs w:val="24"/>
              </w:rPr>
              <w:t>Referenčné laboratórium</w:t>
            </w:r>
            <w:r w:rsidRPr="009F4F7C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401" w:type="dxa"/>
            <w:vAlign w:val="center"/>
          </w:tcPr>
          <w:p w14:paraId="73CCDBE7" w14:textId="77777777" w:rsidR="00773473" w:rsidRDefault="00773473" w:rsidP="000F37F0">
            <w:pPr>
              <w:numPr>
                <w:ilvl w:val="12"/>
                <w:numId w:val="0"/>
              </w:numPr>
              <w:rPr>
                <w:sz w:val="24"/>
              </w:rPr>
            </w:pPr>
            <w:r w:rsidRPr="0069082C">
              <w:rPr>
                <w:sz w:val="24"/>
              </w:rPr>
              <w:t>Kontroltech, s.r.o. Dubnica nad Váhom</w:t>
            </w:r>
          </w:p>
          <w:p w14:paraId="6111E724" w14:textId="77777777" w:rsidR="00D76707" w:rsidRDefault="00D76707" w:rsidP="000F37F0">
            <w:pPr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Technické </w:t>
            </w:r>
            <w:proofErr w:type="spellStart"/>
            <w:r>
              <w:rPr>
                <w:sz w:val="24"/>
              </w:rPr>
              <w:t>laboratorě</w:t>
            </w:r>
            <w:proofErr w:type="spellEnd"/>
            <w:r>
              <w:rPr>
                <w:sz w:val="24"/>
              </w:rPr>
              <w:t xml:space="preserve"> a.s. Opava</w:t>
            </w:r>
          </w:p>
          <w:p w14:paraId="2FDE43FC" w14:textId="635F7B81" w:rsidR="00D76707" w:rsidRPr="009F4F7C" w:rsidRDefault="00D76707" w:rsidP="000F37F0">
            <w:pPr>
              <w:numPr>
                <w:ilvl w:val="12"/>
                <w:numId w:val="0"/>
              </w:numPr>
              <w:rPr>
                <w:sz w:val="10"/>
                <w:szCs w:val="10"/>
              </w:rPr>
            </w:pPr>
          </w:p>
        </w:tc>
      </w:tr>
      <w:tr w:rsidR="009F4F7C" w:rsidRPr="009F4F7C" w14:paraId="1B31888B" w14:textId="77777777" w:rsidTr="00E011D7">
        <w:tc>
          <w:tcPr>
            <w:tcW w:w="1701" w:type="dxa"/>
          </w:tcPr>
          <w:p w14:paraId="2A9B0211" w14:textId="77777777" w:rsidR="009F4F7C" w:rsidRPr="009F4F7C" w:rsidRDefault="009F4F7C" w:rsidP="009F4F7C">
            <w:pPr>
              <w:numPr>
                <w:ilvl w:val="12"/>
                <w:numId w:val="0"/>
              </w:numPr>
              <w:jc w:val="both"/>
              <w:rPr>
                <w:sz w:val="24"/>
                <w:lang w:eastAsia="cs-CZ"/>
              </w:rPr>
            </w:pPr>
            <w:r w:rsidRPr="009F4F7C">
              <w:rPr>
                <w:b/>
                <w:bCs/>
                <w:sz w:val="24"/>
                <w:lang w:eastAsia="cs-CZ"/>
              </w:rPr>
              <w:t>Odborný garant:</w:t>
            </w:r>
          </w:p>
        </w:tc>
        <w:tc>
          <w:tcPr>
            <w:tcW w:w="7401" w:type="dxa"/>
          </w:tcPr>
          <w:p w14:paraId="717DA16C" w14:textId="77777777" w:rsidR="009F4F7C" w:rsidRDefault="0069082C" w:rsidP="0069082C">
            <w:pPr>
              <w:rPr>
                <w:sz w:val="24"/>
              </w:rPr>
            </w:pPr>
            <w:r w:rsidRPr="00773473">
              <w:rPr>
                <w:sz w:val="24"/>
              </w:rPr>
              <w:t xml:space="preserve">Ing. Rastislav Vojtek, PhD.                                                                  </w:t>
            </w:r>
            <w:r w:rsidRPr="0069082C">
              <w:rPr>
                <w:sz w:val="24"/>
              </w:rPr>
              <w:t>Kontroltech, s.r.o. Dubnica nad Váhom</w:t>
            </w:r>
          </w:p>
          <w:p w14:paraId="17AB2184" w14:textId="06DD43C5" w:rsidR="00D76707" w:rsidRPr="0069082C" w:rsidRDefault="00D76707" w:rsidP="0069082C">
            <w:pPr>
              <w:rPr>
                <w:sz w:val="10"/>
                <w:szCs w:val="10"/>
              </w:rPr>
            </w:pPr>
          </w:p>
        </w:tc>
      </w:tr>
    </w:tbl>
    <w:p w14:paraId="564FE9D4" w14:textId="77777777" w:rsidR="009F4F7C" w:rsidRPr="009F4F7C" w:rsidRDefault="009F4F7C" w:rsidP="009F4F7C">
      <w:pPr>
        <w:rPr>
          <w:sz w:val="16"/>
          <w:szCs w:val="16"/>
        </w:rPr>
      </w:pPr>
    </w:p>
    <w:p w14:paraId="52CA3FBC" w14:textId="77777777" w:rsidR="009F4F7C" w:rsidRPr="009F4F7C" w:rsidRDefault="009F4F7C" w:rsidP="009F4F7C">
      <w:pPr>
        <w:shd w:val="clear" w:color="auto" w:fill="FFFFFF"/>
        <w:jc w:val="both"/>
        <w:rPr>
          <w:b/>
          <w:sz w:val="24"/>
          <w:szCs w:val="24"/>
        </w:rPr>
      </w:pPr>
      <w:proofErr w:type="spellStart"/>
      <w:r w:rsidRPr="009F4F7C">
        <w:rPr>
          <w:b/>
          <w:sz w:val="24"/>
          <w:szCs w:val="24"/>
        </w:rPr>
        <w:t>Medzilaboratórne</w:t>
      </w:r>
      <w:proofErr w:type="spellEnd"/>
      <w:r w:rsidRPr="009F4F7C">
        <w:rPr>
          <w:b/>
          <w:sz w:val="24"/>
          <w:szCs w:val="24"/>
        </w:rPr>
        <w:t xml:space="preserve"> porovnávacie merania budú vykonávané v súlade s  pravidlami Slovenskej národnej akreditačnej služby uvedenými v týchto zaslaných materiáloch.</w:t>
      </w:r>
    </w:p>
    <w:p w14:paraId="33FBE158" w14:textId="77777777" w:rsidR="009F4F7C" w:rsidRPr="00AD4289" w:rsidRDefault="009F4F7C" w:rsidP="009F4F7C">
      <w:pPr>
        <w:shd w:val="clear" w:color="auto" w:fill="FFFFFF"/>
        <w:jc w:val="both"/>
        <w:rPr>
          <w:b/>
          <w:sz w:val="24"/>
          <w:szCs w:val="24"/>
        </w:rPr>
      </w:pPr>
    </w:p>
    <w:p w14:paraId="6100C2D6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2.  Predmet MPM</w:t>
      </w:r>
    </w:p>
    <w:p w14:paraId="753F6BB9" w14:textId="732C6FDA" w:rsidR="00773473" w:rsidRDefault="00773473" w:rsidP="00773473">
      <w:pPr>
        <w:numPr>
          <w:ilvl w:val="12"/>
          <w:numId w:val="0"/>
        </w:numPr>
        <w:jc w:val="both"/>
        <w:rPr>
          <w:sz w:val="24"/>
          <w:lang w:eastAsia="cs-CZ"/>
        </w:rPr>
      </w:pPr>
      <w:r w:rsidRPr="004E52B9">
        <w:rPr>
          <w:sz w:val="24"/>
          <w:lang w:eastAsia="cs-CZ"/>
        </w:rPr>
        <w:t xml:space="preserve">Predmetom MLPM bude </w:t>
      </w:r>
      <w:r w:rsidRPr="004E52B9">
        <w:rPr>
          <w:bCs/>
          <w:sz w:val="24"/>
          <w:szCs w:val="24"/>
          <w:lang w:eastAsia="cs-CZ"/>
        </w:rPr>
        <w:t>kalibrácia</w:t>
      </w:r>
      <w:r w:rsidR="005227C3" w:rsidRPr="004E52B9">
        <w:rPr>
          <w:bCs/>
          <w:sz w:val="24"/>
          <w:szCs w:val="24"/>
          <w:lang w:eastAsia="cs-CZ"/>
        </w:rPr>
        <w:t>:</w:t>
      </w:r>
      <w:r w:rsidRPr="004E52B9">
        <w:rPr>
          <w:sz w:val="24"/>
          <w:lang w:eastAsia="cs-CZ"/>
        </w:rPr>
        <w:t xml:space="preserve">  </w:t>
      </w:r>
    </w:p>
    <w:p w14:paraId="0ACC02F9" w14:textId="77777777" w:rsidR="00E14F4E" w:rsidRPr="00E14F4E" w:rsidRDefault="00E14F4E" w:rsidP="00773473">
      <w:pPr>
        <w:numPr>
          <w:ilvl w:val="12"/>
          <w:numId w:val="0"/>
        </w:numPr>
        <w:jc w:val="both"/>
        <w:rPr>
          <w:sz w:val="16"/>
          <w:szCs w:val="16"/>
          <w:lang w:eastAsia="cs-CZ"/>
        </w:rPr>
      </w:pPr>
    </w:p>
    <w:p w14:paraId="1D148C33" w14:textId="77777777" w:rsidR="00736FFB" w:rsidRPr="004E52B9" w:rsidRDefault="00225680" w:rsidP="00225680">
      <w:pPr>
        <w:overflowPunct/>
        <w:autoSpaceDE/>
        <w:adjustRightInd/>
        <w:textAlignment w:val="auto"/>
        <w:rPr>
          <w:bCs/>
          <w:sz w:val="24"/>
          <w:szCs w:val="24"/>
          <w:lang w:eastAsia="cs-CZ"/>
        </w:rPr>
      </w:pPr>
      <w:r w:rsidRPr="004E52B9">
        <w:rPr>
          <w:color w:val="000000"/>
          <w:sz w:val="24"/>
          <w:szCs w:val="24"/>
        </w:rPr>
        <w:t xml:space="preserve">a) </w:t>
      </w:r>
      <w:r w:rsidR="005227C3" w:rsidRPr="004E52B9">
        <w:rPr>
          <w:sz w:val="24"/>
          <w:szCs w:val="24"/>
        </w:rPr>
        <w:t xml:space="preserve">uholník plochý (400x250) mm, KINEX, </w:t>
      </w:r>
      <w:proofErr w:type="spellStart"/>
      <w:r w:rsidR="005227C3" w:rsidRPr="004E52B9">
        <w:rPr>
          <w:sz w:val="24"/>
          <w:szCs w:val="24"/>
        </w:rPr>
        <w:t>tr</w:t>
      </w:r>
      <w:proofErr w:type="spellEnd"/>
      <w:r w:rsidR="005227C3" w:rsidRPr="004E52B9">
        <w:rPr>
          <w:sz w:val="24"/>
          <w:szCs w:val="24"/>
        </w:rPr>
        <w:t xml:space="preserve">. pr.1, DIN 875, </w:t>
      </w:r>
      <w:proofErr w:type="spellStart"/>
      <w:r w:rsidR="005227C3" w:rsidRPr="004E52B9">
        <w:rPr>
          <w:sz w:val="24"/>
          <w:szCs w:val="24"/>
        </w:rPr>
        <w:t>e.č</w:t>
      </w:r>
      <w:proofErr w:type="spellEnd"/>
      <w:r w:rsidR="005227C3" w:rsidRPr="004E52B9">
        <w:rPr>
          <w:sz w:val="24"/>
          <w:szCs w:val="24"/>
        </w:rPr>
        <w:t>.: KZ SR 01,</w:t>
      </w:r>
      <w:r w:rsidR="005227C3" w:rsidRPr="004E52B9">
        <w:rPr>
          <w:b/>
          <w:sz w:val="24"/>
          <w:szCs w:val="24"/>
        </w:rPr>
        <w:t xml:space="preserve">    </w:t>
      </w:r>
    </w:p>
    <w:p w14:paraId="38533AE6" w14:textId="77777777" w:rsidR="005227C3" w:rsidRPr="004E52B9" w:rsidRDefault="00993F4A" w:rsidP="005227C3">
      <w:pPr>
        <w:overflowPunct/>
        <w:autoSpaceDE/>
        <w:adjustRightInd/>
        <w:textAlignment w:val="auto"/>
        <w:rPr>
          <w:bCs/>
          <w:sz w:val="24"/>
          <w:szCs w:val="24"/>
          <w:lang w:eastAsia="cs-CZ"/>
        </w:rPr>
      </w:pPr>
      <w:r w:rsidRPr="004E52B9">
        <w:rPr>
          <w:color w:val="000000"/>
          <w:sz w:val="24"/>
          <w:szCs w:val="24"/>
        </w:rPr>
        <w:t xml:space="preserve">b) </w:t>
      </w:r>
      <w:r w:rsidR="005227C3" w:rsidRPr="004E52B9">
        <w:rPr>
          <w:sz w:val="24"/>
          <w:szCs w:val="24"/>
        </w:rPr>
        <w:t xml:space="preserve">uhlomer s lupou 4 x 90°, hodnota dielika 5´, SEMIEC Čína, </w:t>
      </w:r>
      <w:proofErr w:type="spellStart"/>
      <w:r w:rsidR="005227C3" w:rsidRPr="004E52B9">
        <w:rPr>
          <w:sz w:val="24"/>
          <w:szCs w:val="24"/>
        </w:rPr>
        <w:t>e.č</w:t>
      </w:r>
      <w:proofErr w:type="spellEnd"/>
      <w:r w:rsidR="005227C3" w:rsidRPr="004E52B9">
        <w:rPr>
          <w:sz w:val="24"/>
          <w:szCs w:val="24"/>
        </w:rPr>
        <w:t>. PMR- 327</w:t>
      </w:r>
      <w:r w:rsidR="005227C3" w:rsidRPr="004E52B9">
        <w:rPr>
          <w:sz w:val="24"/>
          <w:szCs w:val="24"/>
          <w:shd w:val="clear" w:color="auto" w:fill="FFFFFF"/>
          <w:lang w:eastAsia="cs-CZ"/>
        </w:rPr>
        <w:t>,</w:t>
      </w:r>
    </w:p>
    <w:p w14:paraId="6C075023" w14:textId="77777777" w:rsidR="005227C3" w:rsidRDefault="005227C3" w:rsidP="005227C3">
      <w:pPr>
        <w:numPr>
          <w:ilvl w:val="12"/>
          <w:numId w:val="0"/>
        </w:numPr>
        <w:overflowPunct/>
        <w:autoSpaceDE/>
        <w:adjustRightInd/>
        <w:jc w:val="both"/>
        <w:textAlignment w:val="auto"/>
        <w:rPr>
          <w:sz w:val="24"/>
          <w:lang w:eastAsia="cs-CZ"/>
        </w:rPr>
      </w:pPr>
      <w:r w:rsidRPr="004E52B9">
        <w:rPr>
          <w:sz w:val="24"/>
          <w:lang w:eastAsia="cs-CZ"/>
        </w:rPr>
        <w:t>s</w:t>
      </w:r>
      <w:r w:rsidR="00773473" w:rsidRPr="004E52B9">
        <w:rPr>
          <w:sz w:val="24"/>
          <w:lang w:eastAsia="cs-CZ"/>
        </w:rPr>
        <w:t xml:space="preserve">  koeficientom tepelnej rozťažnosti </w:t>
      </w:r>
      <w:r w:rsidR="00773473" w:rsidRPr="004E52B9">
        <w:rPr>
          <w:sz w:val="24"/>
          <w:lang w:eastAsia="cs-CZ"/>
        </w:rPr>
        <w:sym w:font="Symbol" w:char="F061"/>
      </w:r>
      <w:r w:rsidR="00773473" w:rsidRPr="004E52B9">
        <w:rPr>
          <w:sz w:val="24"/>
          <w:lang w:eastAsia="cs-CZ"/>
        </w:rPr>
        <w:t>=11,5.10</w:t>
      </w:r>
      <w:r w:rsidR="00773473" w:rsidRPr="004E52B9">
        <w:rPr>
          <w:rFonts w:ascii="Times New (W1)" w:hAnsi="Times New (W1)"/>
          <w:sz w:val="24"/>
          <w:vertAlign w:val="superscript"/>
          <w:lang w:eastAsia="cs-CZ"/>
        </w:rPr>
        <w:t>-6</w:t>
      </w:r>
      <w:r w:rsidR="00773473" w:rsidRPr="004E52B9">
        <w:rPr>
          <w:sz w:val="24"/>
          <w:lang w:eastAsia="cs-CZ"/>
        </w:rPr>
        <w:t>K</w:t>
      </w:r>
      <w:r w:rsidR="00773473" w:rsidRPr="004E52B9">
        <w:rPr>
          <w:rFonts w:ascii="Times New (W1)" w:hAnsi="Times New (W1)"/>
          <w:sz w:val="24"/>
          <w:vertAlign w:val="superscript"/>
          <w:lang w:eastAsia="cs-CZ"/>
        </w:rPr>
        <w:t>-1</w:t>
      </w:r>
      <w:r w:rsidR="00773473" w:rsidRPr="004E52B9">
        <w:rPr>
          <w:sz w:val="24"/>
          <w:lang w:eastAsia="cs-CZ"/>
        </w:rPr>
        <w:t xml:space="preserve"> (U</w:t>
      </w:r>
      <w:r w:rsidR="00773473" w:rsidRPr="004E52B9">
        <w:rPr>
          <w:sz w:val="24"/>
          <w:lang w:eastAsia="cs-CZ"/>
        </w:rPr>
        <w:sym w:font="Symbol" w:char="F061"/>
      </w:r>
      <w:r w:rsidR="00773473" w:rsidRPr="004E52B9">
        <w:rPr>
          <w:sz w:val="24"/>
          <w:lang w:eastAsia="cs-CZ"/>
        </w:rPr>
        <w:t xml:space="preserve"> =1.10</w:t>
      </w:r>
      <w:r w:rsidR="00773473" w:rsidRPr="004E52B9">
        <w:rPr>
          <w:rFonts w:ascii="Times New (W1)" w:hAnsi="Times New (W1)"/>
          <w:sz w:val="24"/>
          <w:vertAlign w:val="superscript"/>
          <w:lang w:eastAsia="cs-CZ"/>
        </w:rPr>
        <w:t>-6</w:t>
      </w:r>
      <w:r w:rsidR="00773473" w:rsidRPr="004E52B9">
        <w:rPr>
          <w:sz w:val="24"/>
          <w:lang w:eastAsia="cs-CZ"/>
        </w:rPr>
        <w:t>K</w:t>
      </w:r>
      <w:r w:rsidR="00773473" w:rsidRPr="004E52B9">
        <w:rPr>
          <w:rFonts w:ascii="Times New (W1)" w:hAnsi="Times New (W1)"/>
          <w:sz w:val="24"/>
          <w:vertAlign w:val="superscript"/>
          <w:lang w:eastAsia="cs-CZ"/>
        </w:rPr>
        <w:t>-1</w:t>
      </w:r>
      <w:r w:rsidR="00773473" w:rsidRPr="004E52B9">
        <w:rPr>
          <w:sz w:val="24"/>
          <w:lang w:eastAsia="cs-CZ"/>
        </w:rPr>
        <w:t>)</w:t>
      </w:r>
      <w:r w:rsidRPr="004E52B9">
        <w:rPr>
          <w:sz w:val="24"/>
          <w:lang w:eastAsia="cs-CZ"/>
        </w:rPr>
        <w:t>.</w:t>
      </w:r>
    </w:p>
    <w:p w14:paraId="6F9A2C99" w14:textId="77777777" w:rsidR="005227C3" w:rsidRPr="005227C3" w:rsidRDefault="00993F4A" w:rsidP="005227C3">
      <w:pPr>
        <w:numPr>
          <w:ilvl w:val="12"/>
          <w:numId w:val="0"/>
        </w:numPr>
        <w:overflowPunct/>
        <w:autoSpaceDE/>
        <w:adjustRightInd/>
        <w:jc w:val="both"/>
        <w:textAlignment w:val="auto"/>
        <w:rPr>
          <w:sz w:val="16"/>
          <w:szCs w:val="16"/>
          <w:lang w:eastAsia="cs-CZ"/>
        </w:rPr>
      </w:pPr>
      <w:r w:rsidRPr="00993F4A">
        <w:rPr>
          <w:sz w:val="24"/>
          <w:lang w:eastAsia="cs-CZ"/>
        </w:rPr>
        <w:t xml:space="preserve"> </w:t>
      </w:r>
    </w:p>
    <w:p w14:paraId="08ADDA5A" w14:textId="77777777" w:rsidR="009F4F7C" w:rsidRPr="009F4F7C" w:rsidRDefault="009F4F7C" w:rsidP="005227C3">
      <w:pPr>
        <w:numPr>
          <w:ilvl w:val="12"/>
          <w:numId w:val="0"/>
        </w:numPr>
        <w:overflowPunct/>
        <w:autoSpaceDE/>
        <w:adjustRightInd/>
        <w:jc w:val="both"/>
        <w:textAlignment w:val="auto"/>
        <w:rPr>
          <w:sz w:val="24"/>
          <w:szCs w:val="24"/>
        </w:rPr>
      </w:pPr>
      <w:r w:rsidRPr="00AD4289">
        <w:rPr>
          <w:sz w:val="24"/>
          <w:szCs w:val="24"/>
        </w:rPr>
        <w:t xml:space="preserve">Pred začiatkom porovnania </w:t>
      </w:r>
      <w:r w:rsidRPr="005521A1">
        <w:rPr>
          <w:sz w:val="24"/>
          <w:szCs w:val="24"/>
        </w:rPr>
        <w:t>MLPM budú m</w:t>
      </w:r>
      <w:r w:rsidR="005521A1" w:rsidRPr="005521A1">
        <w:rPr>
          <w:sz w:val="24"/>
          <w:szCs w:val="24"/>
        </w:rPr>
        <w:t>eradlá</w:t>
      </w:r>
      <w:r w:rsidRPr="005521A1">
        <w:rPr>
          <w:sz w:val="24"/>
          <w:szCs w:val="24"/>
        </w:rPr>
        <w:t xml:space="preserve"> kalibrované</w:t>
      </w:r>
      <w:r w:rsidRPr="00AD4289">
        <w:rPr>
          <w:sz w:val="24"/>
          <w:szCs w:val="24"/>
        </w:rPr>
        <w:t xml:space="preserve"> v referenčnom laboratóriu.</w:t>
      </w:r>
    </w:p>
    <w:p w14:paraId="109E7069" w14:textId="77777777" w:rsidR="009F4F7C" w:rsidRPr="009F4F7C" w:rsidRDefault="009F4F7C" w:rsidP="009F4F7C">
      <w:pPr>
        <w:shd w:val="clear" w:color="auto" w:fill="FFFFFF"/>
        <w:jc w:val="both"/>
        <w:rPr>
          <w:sz w:val="16"/>
          <w:szCs w:val="16"/>
        </w:rPr>
      </w:pPr>
    </w:p>
    <w:p w14:paraId="294B2B16" w14:textId="77777777" w:rsidR="009F4F7C" w:rsidRDefault="009F4F7C" w:rsidP="009F4F7C">
      <w:pPr>
        <w:shd w:val="clear" w:color="auto" w:fill="FFFFFF"/>
        <w:jc w:val="both"/>
        <w:rPr>
          <w:sz w:val="24"/>
          <w:szCs w:val="24"/>
        </w:rPr>
      </w:pPr>
      <w:r w:rsidRPr="009F4F7C">
        <w:rPr>
          <w:sz w:val="24"/>
          <w:szCs w:val="24"/>
        </w:rPr>
        <w:t xml:space="preserve">Každý účastník si prevezme </w:t>
      </w:r>
      <w:r w:rsidR="00792E3B">
        <w:rPr>
          <w:sz w:val="24"/>
          <w:szCs w:val="24"/>
        </w:rPr>
        <w:t>meradlá</w:t>
      </w:r>
      <w:r w:rsidRPr="009F4F7C">
        <w:rPr>
          <w:sz w:val="24"/>
          <w:szCs w:val="24"/>
        </w:rPr>
        <w:t xml:space="preserve"> podľa dohodnutého harmonogramu v prepravnom balení. </w:t>
      </w:r>
      <w:r w:rsidR="008C7A25" w:rsidRPr="00AD4289">
        <w:rPr>
          <w:sz w:val="24"/>
          <w:szCs w:val="24"/>
          <w:shd w:val="clear" w:color="auto" w:fill="FFFFFF"/>
        </w:rPr>
        <w:t>Ú</w:t>
      </w:r>
      <w:r w:rsidRPr="00AD4289">
        <w:rPr>
          <w:sz w:val="24"/>
          <w:szCs w:val="24"/>
          <w:shd w:val="clear" w:color="auto" w:fill="FFFFFF"/>
        </w:rPr>
        <w:t xml:space="preserve">častník pri preberaní </w:t>
      </w:r>
      <w:r w:rsidR="00F65051">
        <w:rPr>
          <w:sz w:val="24"/>
          <w:szCs w:val="24"/>
          <w:shd w:val="clear" w:color="auto" w:fill="FFFFFF"/>
        </w:rPr>
        <w:t xml:space="preserve">meradiel </w:t>
      </w:r>
      <w:r w:rsidR="008C7A25" w:rsidRPr="00AD4289">
        <w:rPr>
          <w:sz w:val="24"/>
          <w:szCs w:val="24"/>
          <w:shd w:val="clear" w:color="auto" w:fill="FFFFFF"/>
        </w:rPr>
        <w:t xml:space="preserve">zdokumentuje </w:t>
      </w:r>
      <w:r w:rsidR="008727CB" w:rsidRPr="00AD4289">
        <w:rPr>
          <w:sz w:val="24"/>
          <w:szCs w:val="24"/>
          <w:shd w:val="clear" w:color="auto" w:fill="FFFFFF"/>
        </w:rPr>
        <w:t xml:space="preserve">fotograficky </w:t>
      </w:r>
      <w:r w:rsidR="007456FC" w:rsidRPr="00AD4289">
        <w:rPr>
          <w:sz w:val="24"/>
          <w:szCs w:val="24"/>
          <w:shd w:val="clear" w:color="auto" w:fill="FFFFFF"/>
        </w:rPr>
        <w:t xml:space="preserve">stav </w:t>
      </w:r>
      <w:r w:rsidR="00F65051">
        <w:rPr>
          <w:sz w:val="24"/>
          <w:szCs w:val="24"/>
          <w:shd w:val="clear" w:color="auto" w:fill="FFFFFF"/>
        </w:rPr>
        <w:t>meradiel (</w:t>
      </w:r>
      <w:r w:rsidR="007456FC" w:rsidRPr="00AD4289">
        <w:rPr>
          <w:sz w:val="24"/>
          <w:szCs w:val="24"/>
          <w:shd w:val="clear" w:color="auto" w:fill="FFFFFF"/>
        </w:rPr>
        <w:t>funkčných plôch</w:t>
      </w:r>
      <w:r w:rsidR="00F65051">
        <w:rPr>
          <w:sz w:val="24"/>
          <w:szCs w:val="24"/>
          <w:shd w:val="clear" w:color="auto" w:fill="FFFFFF"/>
        </w:rPr>
        <w:t>)</w:t>
      </w:r>
      <w:r w:rsidR="007456FC" w:rsidRPr="00AD4289">
        <w:rPr>
          <w:sz w:val="24"/>
          <w:szCs w:val="24"/>
          <w:shd w:val="clear" w:color="auto" w:fill="FFFFFF"/>
        </w:rPr>
        <w:t>.</w:t>
      </w:r>
      <w:r w:rsidR="007456FC">
        <w:rPr>
          <w:sz w:val="24"/>
          <w:szCs w:val="24"/>
          <w:shd w:val="clear" w:color="auto" w:fill="FFFFFF"/>
        </w:rPr>
        <w:t xml:space="preserve"> Ak </w:t>
      </w:r>
      <w:r w:rsidRPr="009F4F7C">
        <w:rPr>
          <w:sz w:val="24"/>
          <w:szCs w:val="24"/>
          <w:shd w:val="clear" w:color="auto" w:fill="FFFFFF"/>
        </w:rPr>
        <w:t>zistí ich poškodenie, túto skutočnosť uvedie v preberacom protokole, kt</w:t>
      </w:r>
      <w:r w:rsidR="00B90AEB">
        <w:rPr>
          <w:sz w:val="24"/>
          <w:szCs w:val="24"/>
          <w:shd w:val="clear" w:color="auto" w:fill="FFFFFF"/>
        </w:rPr>
        <w:t xml:space="preserve">orý bezodkladne zašle </w:t>
      </w:r>
      <w:r w:rsidRPr="009F4F7C">
        <w:rPr>
          <w:sz w:val="24"/>
          <w:szCs w:val="24"/>
          <w:shd w:val="clear" w:color="auto" w:fill="FFFFFF"/>
        </w:rPr>
        <w:t>e-mailom organizátorovi</w:t>
      </w:r>
      <w:r w:rsidR="00AD4289">
        <w:rPr>
          <w:sz w:val="24"/>
          <w:szCs w:val="24"/>
          <w:shd w:val="clear" w:color="auto" w:fill="FFFFFF"/>
        </w:rPr>
        <w:t xml:space="preserve"> </w:t>
      </w:r>
      <w:r w:rsidRPr="009F4F7C">
        <w:rPr>
          <w:sz w:val="24"/>
          <w:szCs w:val="24"/>
          <w:shd w:val="clear" w:color="auto" w:fill="FFFFFF"/>
        </w:rPr>
        <w:t>MLPM</w:t>
      </w:r>
      <w:r w:rsidRPr="009F4F7C">
        <w:rPr>
          <w:sz w:val="24"/>
          <w:szCs w:val="24"/>
        </w:rPr>
        <w:t>. Laboratórium/organizácia, ktoré spôsobilo poškodenie m</w:t>
      </w:r>
      <w:r w:rsidR="00F65051">
        <w:rPr>
          <w:sz w:val="24"/>
          <w:szCs w:val="24"/>
        </w:rPr>
        <w:t>eradiel</w:t>
      </w:r>
      <w:r w:rsidRPr="009F4F7C">
        <w:rPr>
          <w:sz w:val="24"/>
          <w:szCs w:val="24"/>
        </w:rPr>
        <w:t>, alebo stratu je povinné uhradiť vzniknuté náklady resp. stratu organizátorovi MLPM.</w:t>
      </w:r>
    </w:p>
    <w:p w14:paraId="43C0B4A6" w14:textId="77777777" w:rsidR="00AD4289" w:rsidRPr="00AD4289" w:rsidRDefault="00AD4289" w:rsidP="009F4F7C">
      <w:pPr>
        <w:shd w:val="clear" w:color="auto" w:fill="FFFFFF"/>
        <w:jc w:val="both"/>
        <w:rPr>
          <w:sz w:val="16"/>
          <w:szCs w:val="16"/>
        </w:rPr>
      </w:pPr>
    </w:p>
    <w:p w14:paraId="52DF0CFC" w14:textId="77777777" w:rsidR="00005B53" w:rsidRPr="009F4F7C" w:rsidRDefault="00005B53" w:rsidP="009F4F7C">
      <w:pPr>
        <w:shd w:val="clear" w:color="auto" w:fill="FFFFFF"/>
        <w:jc w:val="both"/>
        <w:rPr>
          <w:b/>
          <w:sz w:val="24"/>
          <w:szCs w:val="24"/>
        </w:rPr>
      </w:pPr>
      <w:r w:rsidRPr="00AD4289">
        <w:rPr>
          <w:b/>
          <w:sz w:val="24"/>
          <w:szCs w:val="24"/>
        </w:rPr>
        <w:t xml:space="preserve">Na </w:t>
      </w:r>
      <w:r w:rsidR="00F65051">
        <w:rPr>
          <w:b/>
          <w:sz w:val="24"/>
          <w:szCs w:val="24"/>
        </w:rPr>
        <w:t>meradlách j</w:t>
      </w:r>
      <w:r w:rsidRPr="00AD4289">
        <w:rPr>
          <w:b/>
          <w:sz w:val="24"/>
          <w:szCs w:val="24"/>
        </w:rPr>
        <w:t>e dovolené vykonať len očistenie funkčných plôch, prípadne odstrániť narazenia hrán!!!</w:t>
      </w:r>
      <w:r>
        <w:rPr>
          <w:b/>
          <w:sz w:val="24"/>
          <w:szCs w:val="24"/>
        </w:rPr>
        <w:t xml:space="preserve"> </w:t>
      </w:r>
    </w:p>
    <w:p w14:paraId="520200BA" w14:textId="77777777" w:rsidR="009F4F7C" w:rsidRPr="00AD4289" w:rsidRDefault="009F4F7C" w:rsidP="009F4F7C">
      <w:pPr>
        <w:shd w:val="clear" w:color="auto" w:fill="FFFFFF"/>
        <w:jc w:val="both"/>
        <w:rPr>
          <w:sz w:val="24"/>
          <w:szCs w:val="24"/>
        </w:rPr>
      </w:pPr>
    </w:p>
    <w:p w14:paraId="31E2CFF7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3.  Registrácia</w:t>
      </w:r>
    </w:p>
    <w:p w14:paraId="6550FBE3" w14:textId="77777777" w:rsidR="009F4F7C" w:rsidRPr="009F4F7C" w:rsidRDefault="009F4F7C" w:rsidP="009F4F7C">
      <w:pPr>
        <w:shd w:val="clear" w:color="auto" w:fill="FFFFFF"/>
        <w:jc w:val="both"/>
        <w:rPr>
          <w:b/>
          <w:bCs/>
          <w:sz w:val="24"/>
          <w:szCs w:val="24"/>
          <w:u w:val="single"/>
        </w:rPr>
      </w:pPr>
      <w:r w:rsidRPr="009F4F7C">
        <w:rPr>
          <w:sz w:val="24"/>
          <w:szCs w:val="24"/>
        </w:rPr>
        <w:t xml:space="preserve">Každý účastník vyplní prihlášku k účasti a zašle ju </w:t>
      </w:r>
      <w:r w:rsidRPr="00E14F4E">
        <w:rPr>
          <w:b/>
          <w:bCs/>
          <w:sz w:val="24"/>
          <w:szCs w:val="24"/>
          <w:u w:val="single"/>
        </w:rPr>
        <w:t xml:space="preserve">najneskoršie do </w:t>
      </w:r>
      <w:r w:rsidR="00855D1D" w:rsidRPr="00E14F4E">
        <w:rPr>
          <w:b/>
          <w:bCs/>
          <w:sz w:val="24"/>
          <w:szCs w:val="24"/>
          <w:u w:val="single"/>
        </w:rPr>
        <w:t xml:space="preserve">20. apríla </w:t>
      </w:r>
      <w:r w:rsidR="007456FC" w:rsidRPr="00E14F4E">
        <w:rPr>
          <w:b/>
          <w:bCs/>
          <w:sz w:val="24"/>
          <w:szCs w:val="24"/>
          <w:u w:val="single"/>
        </w:rPr>
        <w:t>20</w:t>
      </w:r>
      <w:r w:rsidR="00832997" w:rsidRPr="00E14F4E">
        <w:rPr>
          <w:b/>
          <w:bCs/>
          <w:sz w:val="24"/>
          <w:szCs w:val="24"/>
          <w:u w:val="single"/>
        </w:rPr>
        <w:t>21</w:t>
      </w:r>
      <w:r w:rsidRPr="009F4F7C">
        <w:rPr>
          <w:sz w:val="24"/>
          <w:szCs w:val="24"/>
        </w:rPr>
        <w:t xml:space="preserve"> organizátorovi MLPM. </w:t>
      </w:r>
    </w:p>
    <w:p w14:paraId="6EDC2667" w14:textId="77777777" w:rsidR="009F4F7C" w:rsidRPr="009F4F7C" w:rsidRDefault="009F4F7C" w:rsidP="009F4F7C">
      <w:pPr>
        <w:shd w:val="clear" w:color="auto" w:fill="FFFFFF"/>
        <w:jc w:val="both"/>
        <w:rPr>
          <w:sz w:val="16"/>
          <w:szCs w:val="16"/>
        </w:rPr>
      </w:pPr>
    </w:p>
    <w:p w14:paraId="0EBA2FB0" w14:textId="77777777" w:rsidR="00F65051" w:rsidRDefault="00F65051" w:rsidP="00F65051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06402C">
        <w:rPr>
          <w:b/>
          <w:sz w:val="24"/>
          <w:szCs w:val="24"/>
          <w:u w:val="single"/>
        </w:rPr>
        <w:t xml:space="preserve">Poplatok za účasť na MLPM </w:t>
      </w:r>
      <w:r>
        <w:rPr>
          <w:b/>
          <w:sz w:val="24"/>
          <w:szCs w:val="24"/>
          <w:u w:val="single"/>
        </w:rPr>
        <w:t xml:space="preserve">bez DPH </w:t>
      </w:r>
      <w:r w:rsidRPr="0006402C">
        <w:rPr>
          <w:b/>
          <w:sz w:val="24"/>
          <w:szCs w:val="24"/>
          <w:u w:val="single"/>
        </w:rPr>
        <w:t>je</w:t>
      </w:r>
      <w:r>
        <w:rPr>
          <w:b/>
          <w:sz w:val="24"/>
          <w:szCs w:val="24"/>
          <w:u w:val="single"/>
        </w:rPr>
        <w:t>:</w:t>
      </w:r>
    </w:p>
    <w:p w14:paraId="17C42691" w14:textId="77777777" w:rsidR="000E541C" w:rsidRPr="00953321" w:rsidRDefault="000E541C" w:rsidP="00F65051">
      <w:pPr>
        <w:shd w:val="clear" w:color="auto" w:fill="FFFFFF"/>
        <w:jc w:val="both"/>
        <w:rPr>
          <w:b/>
          <w:sz w:val="10"/>
          <w:szCs w:val="10"/>
          <w:u w:val="single"/>
        </w:rPr>
      </w:pPr>
    </w:p>
    <w:tbl>
      <w:tblPr>
        <w:tblStyle w:val="Mriekatabuky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E541C" w:rsidRPr="00096251" w14:paraId="726DFFF9" w14:textId="77777777" w:rsidTr="000E541C">
        <w:tc>
          <w:tcPr>
            <w:tcW w:w="4606" w:type="dxa"/>
          </w:tcPr>
          <w:p w14:paraId="5B0841EB" w14:textId="77777777" w:rsidR="000E541C" w:rsidRPr="00096251" w:rsidRDefault="000E541C" w:rsidP="000E541C">
            <w:pPr>
              <w:shd w:val="clear" w:color="auto" w:fill="FFFFFF"/>
              <w:jc w:val="both"/>
              <w:rPr>
                <w:b/>
                <w:bCs/>
                <w:i/>
                <w:sz w:val="24"/>
                <w:szCs w:val="24"/>
              </w:rPr>
            </w:pPr>
            <w:r w:rsidRPr="00096251">
              <w:rPr>
                <w:sz w:val="24"/>
                <w:szCs w:val="24"/>
              </w:rPr>
              <w:t xml:space="preserve">- </w:t>
            </w:r>
            <w:r w:rsidR="00B3253B" w:rsidRPr="00096251">
              <w:rPr>
                <w:b/>
                <w:bCs/>
                <w:sz w:val="24"/>
                <w:szCs w:val="24"/>
              </w:rPr>
              <w:t>jedno meradlo:</w:t>
            </w:r>
            <w:r w:rsidR="00B3253B" w:rsidRPr="00096251">
              <w:rPr>
                <w:b/>
                <w:bCs/>
                <w:sz w:val="24"/>
                <w:szCs w:val="24"/>
              </w:rPr>
              <w:tab/>
              <w:t>199</w:t>
            </w:r>
            <w:r w:rsidRPr="00096251">
              <w:rPr>
                <w:b/>
                <w:bCs/>
                <w:sz w:val="24"/>
                <w:szCs w:val="24"/>
              </w:rPr>
              <w:t xml:space="preserve"> €</w:t>
            </w:r>
            <w:r w:rsidRPr="0009625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66D5CBE1" w14:textId="77777777" w:rsidR="000E541C" w:rsidRPr="00096251" w:rsidRDefault="000E541C" w:rsidP="00953321">
            <w:pPr>
              <w:shd w:val="clear" w:color="auto" w:fill="FFFFFF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14:paraId="32FB6C14" w14:textId="2DA7F385" w:rsidR="000E541C" w:rsidRPr="00096251" w:rsidRDefault="005227C3" w:rsidP="00096251">
            <w:pPr>
              <w:shd w:val="clear" w:color="auto" w:fill="FFFFFF"/>
              <w:jc w:val="both"/>
              <w:rPr>
                <w:b/>
                <w:bCs/>
                <w:i/>
                <w:sz w:val="24"/>
                <w:szCs w:val="24"/>
              </w:rPr>
            </w:pPr>
            <w:r w:rsidRPr="00096251">
              <w:rPr>
                <w:b/>
                <w:bCs/>
                <w:sz w:val="24"/>
                <w:szCs w:val="24"/>
              </w:rPr>
              <w:t xml:space="preserve">- dve </w:t>
            </w:r>
            <w:r w:rsidR="00855D1D" w:rsidRPr="00096251">
              <w:rPr>
                <w:b/>
                <w:bCs/>
                <w:sz w:val="24"/>
                <w:szCs w:val="24"/>
              </w:rPr>
              <w:t>meradl</w:t>
            </w:r>
            <w:r w:rsidR="00E14F4E">
              <w:rPr>
                <w:b/>
                <w:bCs/>
                <w:sz w:val="24"/>
                <w:szCs w:val="24"/>
              </w:rPr>
              <w:t>á</w:t>
            </w:r>
            <w:r w:rsidR="00855D1D" w:rsidRPr="00096251">
              <w:rPr>
                <w:b/>
                <w:bCs/>
                <w:sz w:val="24"/>
                <w:szCs w:val="24"/>
              </w:rPr>
              <w:t>:</w:t>
            </w:r>
            <w:r w:rsidR="00855D1D" w:rsidRPr="00096251">
              <w:rPr>
                <w:b/>
                <w:bCs/>
                <w:sz w:val="24"/>
                <w:szCs w:val="24"/>
              </w:rPr>
              <w:tab/>
            </w:r>
            <w:r w:rsidR="00096251">
              <w:rPr>
                <w:b/>
                <w:bCs/>
                <w:sz w:val="24"/>
                <w:szCs w:val="24"/>
              </w:rPr>
              <w:t>28</w:t>
            </w:r>
            <w:r w:rsidR="00096251" w:rsidRPr="00096251">
              <w:rPr>
                <w:b/>
                <w:bCs/>
                <w:sz w:val="24"/>
                <w:szCs w:val="24"/>
              </w:rPr>
              <w:t>5</w:t>
            </w:r>
            <w:r w:rsidR="00855D1D" w:rsidRPr="00096251">
              <w:rPr>
                <w:b/>
                <w:bCs/>
                <w:sz w:val="24"/>
                <w:szCs w:val="24"/>
              </w:rPr>
              <w:t xml:space="preserve"> </w:t>
            </w:r>
            <w:r w:rsidRPr="00096251">
              <w:rPr>
                <w:b/>
                <w:bCs/>
                <w:sz w:val="24"/>
                <w:szCs w:val="24"/>
              </w:rPr>
              <w:t>€</w:t>
            </w:r>
            <w:r w:rsidR="00953321" w:rsidRPr="00096251">
              <w:rPr>
                <w:sz w:val="24"/>
                <w:szCs w:val="24"/>
              </w:rPr>
              <w:tab/>
            </w:r>
          </w:p>
        </w:tc>
      </w:tr>
    </w:tbl>
    <w:p w14:paraId="0101E2F4" w14:textId="77777777" w:rsidR="009F4F7C" w:rsidRPr="009F4F7C" w:rsidRDefault="009F4F7C" w:rsidP="009F4F7C">
      <w:pPr>
        <w:shd w:val="clear" w:color="auto" w:fill="FFFFFF"/>
        <w:jc w:val="both"/>
        <w:rPr>
          <w:sz w:val="24"/>
          <w:szCs w:val="24"/>
        </w:rPr>
      </w:pPr>
      <w:r w:rsidRPr="009F4F7C">
        <w:rPr>
          <w:b/>
          <w:bCs/>
          <w:sz w:val="24"/>
          <w:szCs w:val="24"/>
        </w:rPr>
        <w:t>Po zaslaní záväznej prihlášky zašleme zálohovú faktúru na uvedenú sumu.</w:t>
      </w:r>
      <w:r w:rsidRPr="009F4F7C">
        <w:rPr>
          <w:sz w:val="24"/>
          <w:szCs w:val="24"/>
        </w:rPr>
        <w:t xml:space="preserve"> </w:t>
      </w:r>
    </w:p>
    <w:p w14:paraId="406C68E8" w14:textId="1F360A4A" w:rsidR="009F4F7C" w:rsidRDefault="009F4F7C" w:rsidP="009F4F7C">
      <w:pPr>
        <w:shd w:val="clear" w:color="auto" w:fill="FFFFFF"/>
        <w:jc w:val="both"/>
        <w:rPr>
          <w:sz w:val="24"/>
          <w:szCs w:val="24"/>
        </w:rPr>
      </w:pPr>
      <w:r w:rsidRPr="009F4F7C">
        <w:rPr>
          <w:sz w:val="24"/>
          <w:szCs w:val="24"/>
        </w:rPr>
        <w:t>Poplatok je potrebné uhradiť pred začatím MLPM , najneskôr v priebehu merania vo vašom laboratóriu, bankovým prevodom na účet:</w:t>
      </w:r>
    </w:p>
    <w:p w14:paraId="77356B9B" w14:textId="77777777" w:rsidR="00E14F4E" w:rsidRPr="009F4F7C" w:rsidRDefault="00E14F4E" w:rsidP="009F4F7C">
      <w:pPr>
        <w:shd w:val="clear" w:color="auto" w:fill="FFFFFF"/>
        <w:jc w:val="both"/>
        <w:rPr>
          <w:sz w:val="24"/>
          <w:szCs w:val="24"/>
        </w:rPr>
      </w:pPr>
    </w:p>
    <w:p w14:paraId="1A0163F3" w14:textId="77777777" w:rsidR="007456FC" w:rsidRPr="00AD4289" w:rsidRDefault="007456FC" w:rsidP="007456FC">
      <w:pPr>
        <w:tabs>
          <w:tab w:val="left" w:pos="284"/>
        </w:tabs>
        <w:rPr>
          <w:b/>
          <w:sz w:val="16"/>
          <w:szCs w:val="16"/>
        </w:rPr>
      </w:pPr>
    </w:p>
    <w:p w14:paraId="42643426" w14:textId="77777777" w:rsidR="009F4F7C" w:rsidRPr="009F4F7C" w:rsidRDefault="009F4F7C" w:rsidP="007456FC">
      <w:pPr>
        <w:tabs>
          <w:tab w:val="left" w:pos="284"/>
        </w:tabs>
        <w:spacing w:after="120"/>
        <w:rPr>
          <w:b/>
          <w:sz w:val="24"/>
          <w:szCs w:val="24"/>
        </w:rPr>
      </w:pPr>
      <w:r w:rsidRPr="009F4F7C">
        <w:rPr>
          <w:b/>
          <w:sz w:val="24"/>
          <w:szCs w:val="24"/>
        </w:rPr>
        <w:t>Kalibračné združenie SR,                       IČO 317 95 048</w:t>
      </w:r>
      <w:r w:rsidRPr="009F4F7C">
        <w:rPr>
          <w:sz w:val="24"/>
          <w:szCs w:val="24"/>
        </w:rPr>
        <w:t xml:space="preserve">,         </w:t>
      </w:r>
      <w:r w:rsidRPr="009F4F7C">
        <w:rPr>
          <w:b/>
          <w:sz w:val="24"/>
          <w:szCs w:val="24"/>
        </w:rPr>
        <w:t>IČ pre DPH: 20 21 463 972</w:t>
      </w:r>
    </w:p>
    <w:p w14:paraId="19316B9A" w14:textId="0511DBB0" w:rsidR="009F4F7C" w:rsidRPr="00AD4289" w:rsidRDefault="009F4F7C" w:rsidP="00264CCC">
      <w:pPr>
        <w:tabs>
          <w:tab w:val="left" w:pos="0"/>
        </w:tabs>
        <w:rPr>
          <w:b/>
          <w:sz w:val="22"/>
          <w:szCs w:val="22"/>
        </w:rPr>
      </w:pPr>
      <w:proofErr w:type="spellStart"/>
      <w:r w:rsidRPr="00AD4289">
        <w:rPr>
          <w:b/>
          <w:sz w:val="22"/>
          <w:szCs w:val="22"/>
        </w:rPr>
        <w:t>UniCreditBank</w:t>
      </w:r>
      <w:proofErr w:type="spellEnd"/>
      <w:r w:rsidRPr="00AD4289">
        <w:rPr>
          <w:b/>
          <w:sz w:val="22"/>
          <w:szCs w:val="22"/>
        </w:rPr>
        <w:t>, č. ú.</w:t>
      </w:r>
      <w:r w:rsidRPr="00AD4289">
        <w:rPr>
          <w:sz w:val="22"/>
          <w:szCs w:val="22"/>
        </w:rPr>
        <w:t xml:space="preserve"> </w:t>
      </w:r>
      <w:r w:rsidRPr="00AD4289">
        <w:rPr>
          <w:b/>
          <w:sz w:val="22"/>
          <w:szCs w:val="22"/>
        </w:rPr>
        <w:t xml:space="preserve">1055578007/1111; VS </w:t>
      </w:r>
      <w:r w:rsidR="00AB041D" w:rsidRPr="006B52E2">
        <w:rPr>
          <w:b/>
          <w:sz w:val="22"/>
          <w:szCs w:val="22"/>
        </w:rPr>
        <w:t>20</w:t>
      </w:r>
      <w:r w:rsidR="00E14F4E">
        <w:rPr>
          <w:b/>
          <w:sz w:val="22"/>
          <w:szCs w:val="22"/>
        </w:rPr>
        <w:t>2105</w:t>
      </w:r>
      <w:r w:rsidRPr="00AD4289">
        <w:rPr>
          <w:b/>
          <w:sz w:val="22"/>
          <w:szCs w:val="22"/>
        </w:rPr>
        <w:t>, IBAN: SK09 1111 0000 0010 5557 8007</w:t>
      </w:r>
    </w:p>
    <w:p w14:paraId="17F9A59A" w14:textId="77777777" w:rsidR="009F4F7C" w:rsidRPr="00AD4289" w:rsidRDefault="009F4F7C" w:rsidP="00264CCC">
      <w:pPr>
        <w:rPr>
          <w:sz w:val="24"/>
          <w:szCs w:val="24"/>
        </w:rPr>
      </w:pPr>
    </w:p>
    <w:p w14:paraId="5F52B054" w14:textId="77777777" w:rsidR="009F4F7C" w:rsidRPr="009F4F7C" w:rsidRDefault="009F4F7C" w:rsidP="00264CC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4. Časový harmonogram</w:t>
      </w:r>
    </w:p>
    <w:p w14:paraId="024366E1" w14:textId="7A889678" w:rsidR="009F4F7C" w:rsidRPr="009F4F7C" w:rsidRDefault="009F4F7C" w:rsidP="009F4F7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t xml:space="preserve">Porovnávacie meranie sa uskutoční v mesiacoch </w:t>
      </w:r>
      <w:r w:rsidR="009F5828" w:rsidRPr="00E14F4E">
        <w:rPr>
          <w:sz w:val="24"/>
          <w:szCs w:val="24"/>
        </w:rPr>
        <w:t>máj</w:t>
      </w:r>
      <w:r w:rsidR="00E14F4E" w:rsidRPr="00E14F4E">
        <w:rPr>
          <w:sz w:val="24"/>
          <w:szCs w:val="24"/>
        </w:rPr>
        <w:t>-jún</w:t>
      </w:r>
      <w:r w:rsidR="009F5828" w:rsidRPr="00E14F4E">
        <w:rPr>
          <w:sz w:val="24"/>
          <w:szCs w:val="24"/>
        </w:rPr>
        <w:t xml:space="preserve"> 2021</w:t>
      </w:r>
      <w:r w:rsidRPr="009F4F7C">
        <w:rPr>
          <w:sz w:val="24"/>
          <w:szCs w:val="24"/>
        </w:rPr>
        <w:t>. Zúčastnené laboratórium má čas na temperovanie m</w:t>
      </w:r>
      <w:r w:rsidR="00F65051">
        <w:rPr>
          <w:sz w:val="24"/>
          <w:szCs w:val="24"/>
        </w:rPr>
        <w:t>eradiel</w:t>
      </w:r>
      <w:r w:rsidRPr="009F4F7C">
        <w:rPr>
          <w:sz w:val="24"/>
          <w:szCs w:val="24"/>
        </w:rPr>
        <w:t xml:space="preserve"> max. 1 deň</w:t>
      </w:r>
      <w:r w:rsidR="00F65051">
        <w:rPr>
          <w:sz w:val="24"/>
          <w:szCs w:val="24"/>
        </w:rPr>
        <w:t xml:space="preserve"> pred začiatkom merania a max. </w:t>
      </w:r>
      <w:r w:rsidR="005227C3">
        <w:rPr>
          <w:sz w:val="24"/>
          <w:szCs w:val="24"/>
        </w:rPr>
        <w:t>2</w:t>
      </w:r>
      <w:r w:rsidR="00F65051">
        <w:rPr>
          <w:sz w:val="24"/>
          <w:szCs w:val="24"/>
        </w:rPr>
        <w:t xml:space="preserve"> </w:t>
      </w:r>
      <w:r w:rsidRPr="009F4F7C">
        <w:rPr>
          <w:sz w:val="24"/>
          <w:szCs w:val="24"/>
        </w:rPr>
        <w:t xml:space="preserve">dni na vlastné meranie. Presný časový harmonogram bude dohodnutý a monitorovaný telefonicky organizátorom MLPM s jednotlivými účastníkmi </w:t>
      </w:r>
    </w:p>
    <w:p w14:paraId="6ECE697A" w14:textId="77777777" w:rsidR="009F4F7C" w:rsidRDefault="009F4F7C" w:rsidP="009F4F7C">
      <w:pPr>
        <w:keepNext/>
        <w:jc w:val="both"/>
        <w:outlineLvl w:val="0"/>
        <w:rPr>
          <w:sz w:val="24"/>
          <w:szCs w:val="24"/>
        </w:rPr>
      </w:pPr>
    </w:p>
    <w:p w14:paraId="7FB15FCF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5. Metódy merania</w:t>
      </w:r>
    </w:p>
    <w:p w14:paraId="52B58E18" w14:textId="77777777" w:rsidR="009F4F7C" w:rsidRPr="009F4F7C" w:rsidRDefault="009F4F7C" w:rsidP="009F4F7C">
      <w:pPr>
        <w:numPr>
          <w:ilvl w:val="12"/>
          <w:numId w:val="0"/>
        </w:numPr>
        <w:jc w:val="both"/>
        <w:rPr>
          <w:sz w:val="24"/>
          <w:szCs w:val="24"/>
        </w:rPr>
      </w:pPr>
      <w:r w:rsidRPr="009F4F7C">
        <w:rPr>
          <w:sz w:val="24"/>
          <w:szCs w:val="24"/>
        </w:rPr>
        <w:t>Meranie sa vykoná metódou, ktorá je zavedená a používaná v laboratóriu, resp. na ktorú je laboratórium akreditované.</w:t>
      </w:r>
    </w:p>
    <w:p w14:paraId="1A191F57" w14:textId="77777777" w:rsidR="009F4F7C" w:rsidRPr="009F4F7C" w:rsidRDefault="009F4F7C" w:rsidP="009F4F7C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50D4004E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6.  Doprava meradiel</w:t>
      </w:r>
    </w:p>
    <w:p w14:paraId="701C96E9" w14:textId="16A97A45" w:rsidR="009F4F7C" w:rsidRPr="009F4F7C" w:rsidRDefault="009F4F7C" w:rsidP="009F4F7C">
      <w:pPr>
        <w:jc w:val="both"/>
        <w:rPr>
          <w:sz w:val="24"/>
          <w:szCs w:val="24"/>
          <w:lang w:eastAsia="cs-CZ"/>
        </w:rPr>
      </w:pPr>
      <w:r w:rsidRPr="009F4F7C">
        <w:rPr>
          <w:sz w:val="24"/>
          <w:szCs w:val="24"/>
          <w:lang w:eastAsia="cs-CZ"/>
        </w:rPr>
        <w:t xml:space="preserve">Odovzdávanie a preberanie </w:t>
      </w:r>
      <w:r w:rsidR="00F65051">
        <w:rPr>
          <w:sz w:val="24"/>
          <w:szCs w:val="24"/>
          <w:lang w:eastAsia="cs-CZ"/>
        </w:rPr>
        <w:t>meradiel bu</w:t>
      </w:r>
      <w:r w:rsidRPr="009F4F7C">
        <w:rPr>
          <w:sz w:val="24"/>
          <w:szCs w:val="24"/>
          <w:lang w:eastAsia="cs-CZ"/>
        </w:rPr>
        <w:t>de zabezpečované osobne, resp. kuriérom. Organizačný garant MLPM po dohode s  jednotlivými účastníkmi spracuje harmonogram MLPM. Organizátor MLPM o</w:t>
      </w:r>
      <w:r w:rsidR="00F65051">
        <w:rPr>
          <w:sz w:val="24"/>
          <w:szCs w:val="24"/>
          <w:lang w:eastAsia="cs-CZ"/>
        </w:rPr>
        <w:t>dovzdá prvému účastníkovi MLPM meradlá</w:t>
      </w:r>
      <w:r w:rsidRPr="009F4F7C">
        <w:rPr>
          <w:sz w:val="24"/>
          <w:szCs w:val="24"/>
          <w:lang w:eastAsia="cs-CZ"/>
        </w:rPr>
        <w:t xml:space="preserve"> v prepravnom balení a príjemca potvrdí prevzatie na preberacom protokole s vyznačením stavu pri odovzdávaní (bez </w:t>
      </w:r>
      <w:proofErr w:type="spellStart"/>
      <w:r w:rsidRPr="009F4F7C">
        <w:rPr>
          <w:sz w:val="24"/>
          <w:szCs w:val="24"/>
          <w:lang w:eastAsia="cs-CZ"/>
        </w:rPr>
        <w:t>závad</w:t>
      </w:r>
      <w:proofErr w:type="spellEnd"/>
      <w:r w:rsidRPr="009F4F7C">
        <w:rPr>
          <w:sz w:val="24"/>
          <w:szCs w:val="24"/>
          <w:lang w:eastAsia="cs-CZ"/>
        </w:rPr>
        <w:t xml:space="preserve">, resp. so špecifikáciou zistených </w:t>
      </w:r>
      <w:proofErr w:type="spellStart"/>
      <w:r w:rsidRPr="009F4F7C">
        <w:rPr>
          <w:sz w:val="24"/>
          <w:szCs w:val="24"/>
          <w:lang w:eastAsia="cs-CZ"/>
        </w:rPr>
        <w:t>závad</w:t>
      </w:r>
      <w:proofErr w:type="spellEnd"/>
      <w:r w:rsidRPr="009F4F7C">
        <w:rPr>
          <w:sz w:val="24"/>
          <w:szCs w:val="24"/>
          <w:lang w:eastAsia="cs-CZ"/>
        </w:rPr>
        <w:t>) a s podpismi odovzdávajúceho a preberajúceho. Kalibračné laboratórium po skončení výkonu merania zabezpečí potrebné zabalenie</w:t>
      </w:r>
      <w:r w:rsidR="008727CB">
        <w:rPr>
          <w:sz w:val="24"/>
          <w:szCs w:val="24"/>
          <w:lang w:eastAsia="cs-CZ"/>
        </w:rPr>
        <w:t xml:space="preserve"> </w:t>
      </w:r>
      <w:r w:rsidR="008727CB" w:rsidRPr="006B52E2">
        <w:rPr>
          <w:sz w:val="24"/>
          <w:szCs w:val="24"/>
          <w:lang w:eastAsia="cs-CZ"/>
        </w:rPr>
        <w:t>(pred zabalením zdokumentuje fotograficky stav meracích plôch</w:t>
      </w:r>
      <w:r w:rsidR="008727CB">
        <w:rPr>
          <w:sz w:val="24"/>
          <w:szCs w:val="24"/>
          <w:lang w:eastAsia="cs-CZ"/>
        </w:rPr>
        <w:t>)</w:t>
      </w:r>
      <w:r w:rsidRPr="009F4F7C">
        <w:rPr>
          <w:sz w:val="24"/>
          <w:szCs w:val="24"/>
          <w:lang w:eastAsia="cs-CZ"/>
        </w:rPr>
        <w:t xml:space="preserve"> a dopravu do ďalšieho laboratória. Toto v  poradí ďalšie laboratórium podľa harmonogramu, prevezme mierky od  zástupcu odovzdávajúceho laboratória, ktoré už vykonalo merania. Príjemca potvrdí prevzatie </w:t>
      </w:r>
      <w:r w:rsidR="008727CB">
        <w:rPr>
          <w:sz w:val="24"/>
          <w:szCs w:val="24"/>
          <w:lang w:eastAsia="cs-CZ"/>
        </w:rPr>
        <w:t xml:space="preserve">mierok na preberacom protokole. </w:t>
      </w:r>
      <w:r w:rsidRPr="009F4F7C">
        <w:rPr>
          <w:sz w:val="24"/>
          <w:szCs w:val="24"/>
          <w:lang w:eastAsia="cs-CZ"/>
        </w:rPr>
        <w:t xml:space="preserve">Tento preberací protokol </w:t>
      </w:r>
      <w:r w:rsidR="008727CB" w:rsidRPr="006B52E2">
        <w:rPr>
          <w:sz w:val="24"/>
          <w:szCs w:val="24"/>
          <w:lang w:eastAsia="cs-CZ"/>
        </w:rPr>
        <w:t>(vrátane fotografií funkčných plôch)</w:t>
      </w:r>
      <w:r w:rsidR="008727CB">
        <w:rPr>
          <w:sz w:val="24"/>
          <w:szCs w:val="24"/>
          <w:lang w:eastAsia="cs-CZ"/>
        </w:rPr>
        <w:t xml:space="preserve"> </w:t>
      </w:r>
      <w:r w:rsidRPr="009F4F7C">
        <w:rPr>
          <w:sz w:val="24"/>
          <w:szCs w:val="24"/>
          <w:lang w:eastAsia="cs-CZ"/>
        </w:rPr>
        <w:t>zašle taktiež e-mailom</w:t>
      </w:r>
      <w:r w:rsidR="007456FC">
        <w:rPr>
          <w:sz w:val="24"/>
          <w:szCs w:val="24"/>
          <w:lang w:eastAsia="cs-CZ"/>
        </w:rPr>
        <w:t xml:space="preserve"> </w:t>
      </w:r>
      <w:r w:rsidRPr="009F4F7C">
        <w:rPr>
          <w:sz w:val="24"/>
          <w:szCs w:val="24"/>
          <w:lang w:eastAsia="cs-CZ"/>
        </w:rPr>
        <w:t>organizátorovi MLPM najneskôr do 3 dní od prevzatia mer</w:t>
      </w:r>
      <w:r w:rsidR="00F65051">
        <w:rPr>
          <w:sz w:val="24"/>
          <w:szCs w:val="24"/>
          <w:lang w:eastAsia="cs-CZ"/>
        </w:rPr>
        <w:t>adiel</w:t>
      </w:r>
      <w:r w:rsidRPr="009F4F7C">
        <w:rPr>
          <w:sz w:val="24"/>
          <w:szCs w:val="24"/>
          <w:lang w:eastAsia="cs-CZ"/>
        </w:rPr>
        <w:t xml:space="preserve">. Posledné laboratórium (podľa harmonogramu) po vykonaní meraní </w:t>
      </w:r>
      <w:r w:rsidR="00E5623C">
        <w:rPr>
          <w:sz w:val="24"/>
          <w:szCs w:val="24"/>
          <w:lang w:eastAsia="cs-CZ"/>
        </w:rPr>
        <w:t>meradlá</w:t>
      </w:r>
      <w:r w:rsidRPr="009F4F7C">
        <w:rPr>
          <w:sz w:val="24"/>
          <w:szCs w:val="24"/>
          <w:lang w:eastAsia="cs-CZ"/>
        </w:rPr>
        <w:t xml:space="preserve"> doručí organizačnému garantovi MLPM. </w:t>
      </w:r>
    </w:p>
    <w:p w14:paraId="13D65C0A" w14:textId="77777777" w:rsidR="009F4F7C" w:rsidRPr="009F4F7C" w:rsidRDefault="009F4F7C" w:rsidP="009F4F7C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2195949F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7.  Vlastné meranie</w:t>
      </w:r>
    </w:p>
    <w:p w14:paraId="027358F4" w14:textId="77777777" w:rsidR="009F4F7C" w:rsidRPr="009F4F7C" w:rsidRDefault="009F4F7C" w:rsidP="009F4F7C">
      <w:pPr>
        <w:numPr>
          <w:ilvl w:val="12"/>
          <w:numId w:val="0"/>
        </w:numPr>
        <w:jc w:val="both"/>
        <w:rPr>
          <w:sz w:val="24"/>
          <w:szCs w:val="24"/>
          <w:lang w:eastAsia="cs-CZ"/>
        </w:rPr>
      </w:pPr>
      <w:r w:rsidRPr="009F4F7C">
        <w:rPr>
          <w:sz w:val="24"/>
          <w:szCs w:val="24"/>
          <w:lang w:eastAsia="cs-CZ"/>
        </w:rPr>
        <w:t xml:space="preserve">Laboratórium/organizácia vykoná vlastné meranie čo najskôr po obdržaní meradiel, avšak najneskoršie </w:t>
      </w:r>
      <w:r w:rsidR="005227C3">
        <w:rPr>
          <w:b/>
          <w:bCs/>
          <w:sz w:val="24"/>
          <w:szCs w:val="24"/>
          <w:lang w:eastAsia="cs-CZ"/>
        </w:rPr>
        <w:t>do 3</w:t>
      </w:r>
      <w:r w:rsidRPr="009F4F7C">
        <w:rPr>
          <w:b/>
          <w:bCs/>
          <w:sz w:val="24"/>
          <w:szCs w:val="24"/>
          <w:lang w:eastAsia="cs-CZ"/>
        </w:rPr>
        <w:t xml:space="preserve"> dní</w:t>
      </w:r>
      <w:r w:rsidRPr="009F4F7C">
        <w:rPr>
          <w:sz w:val="24"/>
          <w:szCs w:val="24"/>
          <w:lang w:eastAsia="cs-CZ"/>
        </w:rPr>
        <w:t xml:space="preserve"> od prevzatia. </w:t>
      </w:r>
    </w:p>
    <w:p w14:paraId="1E283D2B" w14:textId="77777777" w:rsidR="00B90AEB" w:rsidRDefault="00B90AEB" w:rsidP="00B90AEB">
      <w:pPr>
        <w:jc w:val="both"/>
        <w:rPr>
          <w:sz w:val="24"/>
          <w:szCs w:val="24"/>
        </w:rPr>
      </w:pPr>
    </w:p>
    <w:p w14:paraId="08BF5AC4" w14:textId="77777777" w:rsidR="00E92BBE" w:rsidRPr="004E52B9" w:rsidRDefault="00B90AEB" w:rsidP="00E92BBE">
      <w:pPr>
        <w:keepNext/>
        <w:tabs>
          <w:tab w:val="left" w:pos="3092"/>
        </w:tabs>
        <w:outlineLvl w:val="0"/>
        <w:rPr>
          <w:sz w:val="28"/>
          <w:szCs w:val="28"/>
        </w:rPr>
      </w:pPr>
      <w:r w:rsidRPr="004E52B9">
        <w:rPr>
          <w:sz w:val="28"/>
          <w:szCs w:val="28"/>
        </w:rPr>
        <w:t>8.  Meracie body</w:t>
      </w:r>
    </w:p>
    <w:p w14:paraId="3009C7E7" w14:textId="77777777" w:rsidR="005227C3" w:rsidRPr="004E52B9" w:rsidRDefault="005227C3" w:rsidP="00E92BBE">
      <w:pPr>
        <w:keepNext/>
        <w:tabs>
          <w:tab w:val="left" w:pos="3092"/>
        </w:tabs>
        <w:outlineLvl w:val="0"/>
      </w:pPr>
    </w:p>
    <w:p w14:paraId="0246B353" w14:textId="77777777" w:rsidR="005227C3" w:rsidRPr="004E52B9" w:rsidRDefault="005227C3" w:rsidP="005227C3">
      <w:pPr>
        <w:overflowPunct/>
        <w:autoSpaceDE/>
        <w:adjustRightInd/>
        <w:textAlignment w:val="auto"/>
        <w:rPr>
          <w:sz w:val="16"/>
          <w:szCs w:val="16"/>
        </w:rPr>
      </w:pPr>
      <w:r w:rsidRPr="004E52B9">
        <w:rPr>
          <w:color w:val="000000"/>
          <w:sz w:val="24"/>
          <w:szCs w:val="24"/>
        </w:rPr>
        <w:t xml:space="preserve">a) </w:t>
      </w:r>
      <w:r w:rsidRPr="004E52B9">
        <w:rPr>
          <w:sz w:val="24"/>
          <w:szCs w:val="24"/>
        </w:rPr>
        <w:t>u</w:t>
      </w:r>
      <w:r w:rsidR="005C51AC" w:rsidRPr="004E52B9">
        <w:rPr>
          <w:sz w:val="24"/>
          <w:szCs w:val="24"/>
        </w:rPr>
        <w:t>holník plochý</w:t>
      </w:r>
      <w:r w:rsidRPr="004E52B9">
        <w:rPr>
          <w:sz w:val="24"/>
          <w:szCs w:val="24"/>
        </w:rPr>
        <w:t>:</w:t>
      </w:r>
    </w:p>
    <w:p w14:paraId="6D5A38C9" w14:textId="77777777" w:rsidR="005227C3" w:rsidRPr="004E52B9" w:rsidRDefault="005227C3" w:rsidP="005227C3">
      <w:pPr>
        <w:overflowPunct/>
        <w:autoSpaceDE/>
        <w:adjustRightInd/>
        <w:textAlignment w:val="auto"/>
        <w:rPr>
          <w:sz w:val="16"/>
          <w:szCs w:val="16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6036"/>
      </w:tblGrid>
      <w:tr w:rsidR="005227C3" w:rsidRPr="004E52B9" w14:paraId="5F1D2571" w14:textId="77777777" w:rsidTr="005227C3">
        <w:tc>
          <w:tcPr>
            <w:tcW w:w="2943" w:type="dxa"/>
          </w:tcPr>
          <w:p w14:paraId="39417BB8" w14:textId="77777777" w:rsidR="005227C3" w:rsidRPr="004E52B9" w:rsidRDefault="005227C3" w:rsidP="005227C3">
            <w:pPr>
              <w:overflowPunct/>
              <w:autoSpaceDE/>
              <w:adjustRightInd/>
              <w:textAlignment w:val="auto"/>
              <w:rPr>
                <w:sz w:val="24"/>
                <w:szCs w:val="24"/>
              </w:rPr>
            </w:pPr>
            <w:r w:rsidRPr="004E52B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 wp14:anchorId="0B29E7BD" wp14:editId="61ABEE2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40005</wp:posOffset>
                  </wp:positionV>
                  <wp:extent cx="1266825" cy="1600200"/>
                  <wp:effectExtent l="19050" t="0" r="0" b="0"/>
                  <wp:wrapSquare wrapText="bothSides"/>
                  <wp:docPr id="2" name="Obrázok 2" descr="UHOLNI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HOLNI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9" w:type="dxa"/>
          </w:tcPr>
          <w:p w14:paraId="432F6123" w14:textId="77777777" w:rsidR="00BE1EC5" w:rsidRDefault="00BE1EC5" w:rsidP="007F4BBB">
            <w:pPr>
              <w:pStyle w:val="Nadpis1"/>
            </w:pPr>
          </w:p>
          <w:p w14:paraId="203426A0" w14:textId="4DC61563" w:rsidR="005227C3" w:rsidRPr="004E52B9" w:rsidRDefault="005227C3" w:rsidP="00BE1EC5">
            <w:pPr>
              <w:pStyle w:val="Nadpis1"/>
              <w:jc w:val="both"/>
              <w:rPr>
                <w:i/>
                <w:color w:val="0000FF"/>
              </w:rPr>
            </w:pPr>
            <w:r w:rsidRPr="004E52B9">
              <w:t xml:space="preserve">Cieľom porovnávacieho merania je zmerať vonkajší uhol uholníka v stupňoch, minútach a  sekundách uhla, odchýlku kolmosti vonkajšieho ramena v µm a odchýlku priamosti vonkajšieho ramena uholníka v µm. </w:t>
            </w:r>
          </w:p>
          <w:p w14:paraId="0BBA875E" w14:textId="77777777" w:rsidR="005227C3" w:rsidRPr="004E52B9" w:rsidRDefault="005227C3" w:rsidP="00BE1EC5">
            <w:pPr>
              <w:spacing w:after="120"/>
              <w:jc w:val="both"/>
              <w:rPr>
                <w:b/>
                <w:iCs/>
                <w:sz w:val="24"/>
              </w:rPr>
            </w:pPr>
          </w:p>
          <w:p w14:paraId="13953BA0" w14:textId="0BAE6451" w:rsidR="005227C3" w:rsidRPr="004E52B9" w:rsidRDefault="005227C3" w:rsidP="00BE1EC5">
            <w:pPr>
              <w:spacing w:after="120"/>
              <w:jc w:val="both"/>
              <w:rPr>
                <w:sz w:val="24"/>
                <w:szCs w:val="24"/>
              </w:rPr>
            </w:pPr>
            <w:r w:rsidRPr="004E52B9">
              <w:rPr>
                <w:b/>
                <w:iCs/>
                <w:sz w:val="24"/>
              </w:rPr>
              <w:t>V prípade, že kalibračné laboratórium nevykonáva kalibráciu na dĺžke 400mm musí definovať na akej dĺžke vykonalo meranie.</w:t>
            </w:r>
          </w:p>
        </w:tc>
      </w:tr>
    </w:tbl>
    <w:p w14:paraId="6FC6D5B6" w14:textId="77777777" w:rsidR="005227C3" w:rsidRPr="004E52B9" w:rsidRDefault="00DD779A" w:rsidP="00BE1EC5">
      <w:pPr>
        <w:tabs>
          <w:tab w:val="left" w:pos="284"/>
        </w:tabs>
        <w:overflowPunct/>
        <w:autoSpaceDE/>
        <w:adjustRightInd/>
        <w:ind w:left="284" w:hanging="284"/>
        <w:jc w:val="both"/>
        <w:textAlignment w:val="auto"/>
        <w:rPr>
          <w:sz w:val="24"/>
          <w:szCs w:val="24"/>
        </w:rPr>
      </w:pPr>
      <w:r w:rsidRPr="004E52B9">
        <w:rPr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BDBA290" wp14:editId="53F82CBA">
            <wp:simplePos x="0" y="0"/>
            <wp:positionH relativeFrom="column">
              <wp:posOffset>2709545</wp:posOffset>
            </wp:positionH>
            <wp:positionV relativeFrom="paragraph">
              <wp:posOffset>-117475</wp:posOffset>
            </wp:positionV>
            <wp:extent cx="1337945" cy="3209925"/>
            <wp:effectExtent l="952500" t="0" r="929005" b="0"/>
            <wp:wrapNone/>
            <wp:docPr id="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6" r="12431" b="21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794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7C3" w:rsidRPr="004E52B9">
        <w:rPr>
          <w:color w:val="000000"/>
          <w:sz w:val="24"/>
          <w:szCs w:val="24"/>
        </w:rPr>
        <w:t xml:space="preserve">b) </w:t>
      </w:r>
      <w:r w:rsidR="005227C3" w:rsidRPr="004E52B9">
        <w:rPr>
          <w:sz w:val="24"/>
          <w:szCs w:val="24"/>
        </w:rPr>
        <w:t>uhlomer s</w:t>
      </w:r>
      <w:r w:rsidR="005C51AC" w:rsidRPr="004E52B9">
        <w:rPr>
          <w:sz w:val="24"/>
          <w:szCs w:val="24"/>
        </w:rPr>
        <w:t> </w:t>
      </w:r>
      <w:r w:rsidR="005227C3" w:rsidRPr="004E52B9">
        <w:rPr>
          <w:sz w:val="24"/>
          <w:szCs w:val="24"/>
        </w:rPr>
        <w:t>lupou</w:t>
      </w:r>
      <w:r w:rsidR="005C51AC" w:rsidRPr="004E52B9">
        <w:rPr>
          <w:sz w:val="24"/>
          <w:szCs w:val="24"/>
        </w:rPr>
        <w:t>:</w:t>
      </w:r>
      <w:r w:rsidR="00F53B0A" w:rsidRPr="004E52B9">
        <w:rPr>
          <w:sz w:val="24"/>
          <w:szCs w:val="24"/>
        </w:rPr>
        <w:t xml:space="preserve"> cieľom porovnávacieho merania je zmerať uhly v I. kvadrante na menovitých hodnotách: </w:t>
      </w:r>
      <w:r w:rsidR="00F53B0A" w:rsidRPr="004E52B9">
        <w:rPr>
          <w:rFonts w:eastAsia="Calibri"/>
          <w:sz w:val="22"/>
          <w:szCs w:val="22"/>
          <w:lang w:eastAsia="en-US"/>
        </w:rPr>
        <w:t>15º 10´ /  45º  /  50º  /  90º´</w:t>
      </w:r>
      <w:r w:rsidR="00F53B0A" w:rsidRPr="004E52B9">
        <w:rPr>
          <w:sz w:val="24"/>
          <w:szCs w:val="24"/>
        </w:rPr>
        <w:t xml:space="preserve"> .</w:t>
      </w:r>
    </w:p>
    <w:p w14:paraId="3A019856" w14:textId="77777777" w:rsidR="00F53B0A" w:rsidRDefault="00F53B0A" w:rsidP="00F53B0A">
      <w:pPr>
        <w:tabs>
          <w:tab w:val="left" w:pos="284"/>
        </w:tabs>
        <w:overflowPunct/>
        <w:autoSpaceDE/>
        <w:adjustRightInd/>
        <w:ind w:left="284" w:hanging="284"/>
        <w:textAlignment w:val="auto"/>
        <w:rPr>
          <w:sz w:val="24"/>
          <w:szCs w:val="24"/>
          <w:highlight w:val="yellow"/>
        </w:rPr>
      </w:pPr>
    </w:p>
    <w:p w14:paraId="6A3DE066" w14:textId="77777777" w:rsidR="00F53B0A" w:rsidRDefault="00F53B0A" w:rsidP="00DD779A">
      <w:pPr>
        <w:tabs>
          <w:tab w:val="left" w:pos="284"/>
        </w:tabs>
        <w:overflowPunct/>
        <w:autoSpaceDE/>
        <w:adjustRightInd/>
        <w:ind w:left="284" w:firstLine="2551"/>
        <w:textAlignment w:val="auto"/>
        <w:rPr>
          <w:sz w:val="24"/>
          <w:szCs w:val="24"/>
          <w:highlight w:val="yellow"/>
        </w:rPr>
      </w:pPr>
    </w:p>
    <w:p w14:paraId="62D69BFE" w14:textId="77777777" w:rsidR="005C51AC" w:rsidRDefault="005C51AC" w:rsidP="00DD779A">
      <w:pPr>
        <w:tabs>
          <w:tab w:val="left" w:pos="284"/>
        </w:tabs>
        <w:overflowPunct/>
        <w:autoSpaceDE/>
        <w:adjustRightInd/>
        <w:ind w:left="284" w:firstLine="1559"/>
        <w:textAlignment w:val="auto"/>
        <w:rPr>
          <w:sz w:val="16"/>
          <w:szCs w:val="16"/>
          <w:highlight w:val="yellow"/>
        </w:rPr>
      </w:pPr>
    </w:p>
    <w:tbl>
      <w:tblPr>
        <w:tblStyle w:val="Mriekatabuky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5C51AC" w14:paraId="408ADCAB" w14:textId="77777777" w:rsidTr="00DD779A">
        <w:trPr>
          <w:trHeight w:val="2325"/>
        </w:trPr>
        <w:tc>
          <w:tcPr>
            <w:tcW w:w="2268" w:type="dxa"/>
          </w:tcPr>
          <w:p w14:paraId="5E2B518A" w14:textId="77777777" w:rsidR="005C51AC" w:rsidRDefault="005C51AC" w:rsidP="00B20C1F">
            <w:pPr>
              <w:overflowPunct/>
              <w:autoSpaceDE/>
              <w:adjustRightInd/>
              <w:textAlignment w:val="auto"/>
              <w:rPr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2D8C12C" wp14:editId="00779A84">
                  <wp:extent cx="1266825" cy="1295400"/>
                  <wp:effectExtent l="0" t="0" r="0" b="0"/>
                  <wp:docPr id="3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3EE3F50C" w14:textId="77777777" w:rsidR="00F53B0A" w:rsidRDefault="00F53B0A" w:rsidP="00F53B0A">
            <w:pPr>
              <w:rPr>
                <w:sz w:val="24"/>
                <w:szCs w:val="24"/>
              </w:rPr>
            </w:pPr>
          </w:p>
          <w:p w14:paraId="4A3CA600" w14:textId="77777777" w:rsidR="00F53B0A" w:rsidRDefault="00F53B0A" w:rsidP="00F53B0A">
            <w:pPr>
              <w:rPr>
                <w:sz w:val="24"/>
                <w:szCs w:val="24"/>
              </w:rPr>
            </w:pPr>
          </w:p>
          <w:p w14:paraId="13B92345" w14:textId="77777777" w:rsidR="005C51AC" w:rsidRDefault="005C51AC" w:rsidP="00F53B0A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2A40545B" w14:textId="77777777" w:rsidR="005C51AC" w:rsidRPr="005C51AC" w:rsidRDefault="005C51AC" w:rsidP="005227C3">
      <w:pPr>
        <w:overflowPunct/>
        <w:autoSpaceDE/>
        <w:adjustRightInd/>
        <w:textAlignment w:val="auto"/>
        <w:rPr>
          <w:sz w:val="16"/>
          <w:szCs w:val="16"/>
          <w:highlight w:val="yellow"/>
        </w:rPr>
      </w:pPr>
    </w:p>
    <w:p w14:paraId="00F0DE6F" w14:textId="77777777" w:rsidR="00C75B3F" w:rsidRDefault="00C75B3F" w:rsidP="00C75B3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F4F7C">
        <w:rPr>
          <w:sz w:val="28"/>
          <w:szCs w:val="28"/>
        </w:rPr>
        <w:t>. Výsledky merania</w:t>
      </w:r>
    </w:p>
    <w:p w14:paraId="03CBC9C3" w14:textId="15196222" w:rsidR="002939DF" w:rsidRPr="002939DF" w:rsidRDefault="002939DF" w:rsidP="002939DF">
      <w:pPr>
        <w:pStyle w:val="Zkladntext3"/>
        <w:jc w:val="both"/>
        <w:rPr>
          <w:i/>
          <w:sz w:val="24"/>
          <w:szCs w:val="24"/>
        </w:rPr>
      </w:pPr>
      <w:r w:rsidRPr="002939DF">
        <w:rPr>
          <w:sz w:val="24"/>
          <w:szCs w:val="24"/>
        </w:rPr>
        <w:t>Meranie sa vyhodnotí zvlášť pre každ</w:t>
      </w:r>
      <w:r w:rsidR="000E541C">
        <w:rPr>
          <w:sz w:val="24"/>
          <w:szCs w:val="24"/>
        </w:rPr>
        <w:t>é meradlo</w:t>
      </w:r>
      <w:r w:rsidRPr="002939DF">
        <w:rPr>
          <w:sz w:val="24"/>
          <w:szCs w:val="24"/>
        </w:rPr>
        <w:t xml:space="preserve"> tak, aby bola udaná je</w:t>
      </w:r>
      <w:r w:rsidR="00E14F4E">
        <w:rPr>
          <w:sz w:val="24"/>
          <w:szCs w:val="24"/>
        </w:rPr>
        <w:t>ho</w:t>
      </w:r>
      <w:r w:rsidRPr="002939DF">
        <w:rPr>
          <w:sz w:val="24"/>
          <w:szCs w:val="24"/>
        </w:rPr>
        <w:t xml:space="preserve"> konvenčne pravá hodnota </w:t>
      </w:r>
      <w:r w:rsidR="000E541C">
        <w:rPr>
          <w:sz w:val="24"/>
          <w:szCs w:val="24"/>
        </w:rPr>
        <w:t xml:space="preserve">rozmeru </w:t>
      </w:r>
      <w:r w:rsidRPr="002939DF">
        <w:rPr>
          <w:sz w:val="24"/>
          <w:szCs w:val="24"/>
        </w:rPr>
        <w:t xml:space="preserve">a príslušná, laboratóriom určená rozšírená neistota </w:t>
      </w:r>
      <w:r w:rsidRPr="002939DF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>,</w:t>
      </w:r>
      <w:r w:rsidRPr="002939DF">
        <w:rPr>
          <w:i/>
          <w:sz w:val="24"/>
          <w:szCs w:val="24"/>
        </w:rPr>
        <w:t> </w:t>
      </w:r>
      <w:r w:rsidRPr="002939DF">
        <w:rPr>
          <w:sz w:val="24"/>
          <w:szCs w:val="24"/>
        </w:rPr>
        <w:t xml:space="preserve">s koeficientom rozšírenia </w:t>
      </w:r>
      <w:r w:rsidRPr="002939DF">
        <w:rPr>
          <w:i/>
          <w:sz w:val="24"/>
          <w:szCs w:val="24"/>
        </w:rPr>
        <w:t>k</w:t>
      </w:r>
      <w:r w:rsidRPr="002939DF">
        <w:rPr>
          <w:sz w:val="24"/>
          <w:szCs w:val="24"/>
        </w:rPr>
        <w:t>=2.</w:t>
      </w:r>
    </w:p>
    <w:p w14:paraId="3C07DE52" w14:textId="77777777" w:rsidR="002939DF" w:rsidRPr="00E14F4E" w:rsidRDefault="002939DF" w:rsidP="002939DF">
      <w:pPr>
        <w:pStyle w:val="Zkladntext3"/>
        <w:spacing w:after="0"/>
        <w:jc w:val="both"/>
        <w:rPr>
          <w:b/>
          <w:bCs/>
          <w:sz w:val="24"/>
          <w:szCs w:val="24"/>
        </w:rPr>
      </w:pPr>
      <w:r w:rsidRPr="00E14F4E">
        <w:rPr>
          <w:b/>
          <w:bCs/>
          <w:sz w:val="24"/>
          <w:szCs w:val="24"/>
        </w:rPr>
        <w:t>Všetky výsledky musia byť vztiahnuté (prepočítané) na referenčnú teplotu 20,0°C.</w:t>
      </w:r>
    </w:p>
    <w:p w14:paraId="14E8D2E2" w14:textId="77777777" w:rsidR="002939DF" w:rsidRDefault="002939DF" w:rsidP="002939DF">
      <w:pPr>
        <w:pStyle w:val="Zkladntext3"/>
        <w:spacing w:after="0"/>
        <w:jc w:val="both"/>
        <w:rPr>
          <w:sz w:val="24"/>
          <w:szCs w:val="24"/>
        </w:rPr>
      </w:pPr>
    </w:p>
    <w:p w14:paraId="42EEF73A" w14:textId="77777777" w:rsidR="009F4F7C" w:rsidRPr="009F4F7C" w:rsidRDefault="00C75B3F" w:rsidP="002939DF">
      <w:pPr>
        <w:pStyle w:val="Zkladntext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4F7C" w:rsidRPr="009F4F7C">
        <w:rPr>
          <w:sz w:val="28"/>
          <w:szCs w:val="28"/>
        </w:rPr>
        <w:t>.  Správa o výsledkoch merania</w:t>
      </w:r>
    </w:p>
    <w:p w14:paraId="648F3EB7" w14:textId="77777777" w:rsidR="009F4F7C" w:rsidRPr="009F4F7C" w:rsidRDefault="009F4F7C" w:rsidP="009F4F7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t>Účastník zašle výsledky merania v elektronickej forme najneskôr do dvoch týždňov  po ukončení svojho merania organizačnému garantovi MLPM na formulári „Oznámenie o výsledkoch MLPM“. Vo formulári sa k výsledkom meraní uvedie počet meraní a príslušné rozšírené neistoty merania s koeficientom rozšírenia 2. Súčasťou "Oznámenia výsledkov kalibrácie" je účastníkom MLPM štandardne vydávaný „</w:t>
      </w:r>
      <w:r w:rsidR="00005B53">
        <w:rPr>
          <w:sz w:val="24"/>
          <w:szCs w:val="24"/>
        </w:rPr>
        <w:t>Kalibračný c</w:t>
      </w:r>
      <w:r w:rsidRPr="009F4F7C">
        <w:rPr>
          <w:sz w:val="24"/>
          <w:szCs w:val="24"/>
        </w:rPr>
        <w:t>ertifikát“ ako oficiálne potvrdenie výsledkov porovnávacích meraní.</w:t>
      </w:r>
    </w:p>
    <w:p w14:paraId="6665D9BB" w14:textId="77777777" w:rsidR="009F4F7C" w:rsidRPr="009F4F7C" w:rsidRDefault="009F4F7C" w:rsidP="009F4F7C">
      <w:pPr>
        <w:jc w:val="both"/>
        <w:rPr>
          <w:sz w:val="16"/>
          <w:szCs w:val="16"/>
        </w:rPr>
      </w:pPr>
    </w:p>
    <w:p w14:paraId="6C5EC04F" w14:textId="77777777" w:rsidR="00005B53" w:rsidRDefault="009F4F7C" w:rsidP="00B90AEB">
      <w:pPr>
        <w:spacing w:after="120"/>
        <w:jc w:val="both"/>
        <w:rPr>
          <w:sz w:val="24"/>
          <w:szCs w:val="24"/>
        </w:rPr>
      </w:pPr>
      <w:r w:rsidRPr="009F4F7C">
        <w:rPr>
          <w:sz w:val="24"/>
          <w:szCs w:val="24"/>
        </w:rPr>
        <w:t xml:space="preserve">V prípade, že určená rozšírená neistota </w:t>
      </w:r>
      <w:r w:rsidRPr="009F4F7C">
        <w:rPr>
          <w:i/>
          <w:sz w:val="24"/>
          <w:szCs w:val="24"/>
        </w:rPr>
        <w:t>U</w:t>
      </w:r>
      <w:r w:rsidRPr="009F4F7C">
        <w:rPr>
          <w:sz w:val="24"/>
          <w:szCs w:val="24"/>
        </w:rPr>
        <w:t>  bude väčšia, ako má účastník uvedenú v prílohe osvedčenia o akreditácii, je potrebné túto skutočnosť zdôvodniť v poznámke „Oznámenia o výsledkoch MLPM“.</w:t>
      </w:r>
    </w:p>
    <w:p w14:paraId="0A048DB0" w14:textId="77777777" w:rsidR="00B90AEB" w:rsidRDefault="00B90AEB" w:rsidP="006B52E2">
      <w:pPr>
        <w:jc w:val="both"/>
        <w:rPr>
          <w:sz w:val="24"/>
          <w:szCs w:val="24"/>
        </w:rPr>
      </w:pPr>
      <w:r w:rsidRPr="00BA7A54">
        <w:rPr>
          <w:sz w:val="24"/>
          <w:szCs w:val="24"/>
        </w:rPr>
        <w:t>Po obdržaní výsledkov od posledného účastníka MLPM</w:t>
      </w:r>
      <w:r w:rsidRPr="00BA7A54">
        <w:rPr>
          <w:color w:val="0000FF"/>
        </w:rPr>
        <w:t xml:space="preserve"> </w:t>
      </w:r>
      <w:r w:rsidRPr="00BA7A54">
        <w:rPr>
          <w:sz w:val="24"/>
          <w:szCs w:val="24"/>
        </w:rPr>
        <w:t>organizátor zašle všetkým účastníkom namerané hodnoty a neistoty meraní referenčného laboratória, ktoré účastníci môžu použiť pri vyhodnotení nimi zistených výsledkov kalibrácie.</w:t>
      </w:r>
    </w:p>
    <w:p w14:paraId="6BBC5D7F" w14:textId="77777777" w:rsidR="006B52E2" w:rsidRPr="00BA7A54" w:rsidRDefault="006B52E2" w:rsidP="006B52E2">
      <w:pPr>
        <w:jc w:val="both"/>
        <w:rPr>
          <w:sz w:val="24"/>
          <w:szCs w:val="24"/>
        </w:rPr>
      </w:pPr>
    </w:p>
    <w:p w14:paraId="345BB2B2" w14:textId="77777777" w:rsidR="009F4F7C" w:rsidRPr="009F4F7C" w:rsidRDefault="009F4F7C" w:rsidP="006B52E2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11. Spracovanie výsledkov MLPM</w:t>
      </w:r>
    </w:p>
    <w:p w14:paraId="3CE31D52" w14:textId="77777777" w:rsidR="009F4F7C" w:rsidRPr="009F4F7C" w:rsidRDefault="009F4F7C" w:rsidP="00264CC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t>Organizátor MLPM spracuje výsledky MLPM matematicko-štatistickými metódami do dvoch týždňov po doručení všetkých výsledkov merania účastníkmi MLPM organizátorovi</w:t>
      </w:r>
      <w:r w:rsidRPr="009F4F7C">
        <w:rPr>
          <w:sz w:val="24"/>
          <w:szCs w:val="24"/>
          <w:shd w:val="clear" w:color="auto" w:fill="FFFFFF"/>
        </w:rPr>
        <w:t>.</w:t>
      </w:r>
      <w:r w:rsidRPr="009F4F7C">
        <w:rPr>
          <w:sz w:val="24"/>
          <w:szCs w:val="24"/>
        </w:rPr>
        <w:t xml:space="preserve"> Výsledky merania budú vyhodnotené pomocou normalizovanej chyby </w:t>
      </w:r>
      <w:r w:rsidRPr="009F4F7C">
        <w:rPr>
          <w:i/>
          <w:sz w:val="24"/>
          <w:szCs w:val="24"/>
        </w:rPr>
        <w:t>E</w:t>
      </w:r>
      <w:r w:rsidRPr="009F4F7C">
        <w:rPr>
          <w:sz w:val="24"/>
          <w:szCs w:val="24"/>
          <w:vertAlign w:val="subscript"/>
        </w:rPr>
        <w:t>n</w:t>
      </w:r>
      <w:r w:rsidRPr="009F4F7C">
        <w:rPr>
          <w:sz w:val="24"/>
          <w:szCs w:val="24"/>
        </w:rPr>
        <w:t xml:space="preserve"> v zmysle MSA –L/08 príloha E.</w:t>
      </w:r>
    </w:p>
    <w:p w14:paraId="6FE8B7A4" w14:textId="77777777" w:rsidR="00800999" w:rsidRDefault="00800999" w:rsidP="00264CCC">
      <w:pPr>
        <w:keepNext/>
        <w:outlineLvl w:val="0"/>
        <w:rPr>
          <w:sz w:val="28"/>
          <w:szCs w:val="28"/>
        </w:rPr>
      </w:pPr>
    </w:p>
    <w:p w14:paraId="4DD9FB26" w14:textId="77777777" w:rsidR="009F4F7C" w:rsidRPr="009F4F7C" w:rsidRDefault="009F4F7C" w:rsidP="00264CC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12.  Utajenie informácií o účastníkoch MPM</w:t>
      </w:r>
    </w:p>
    <w:p w14:paraId="309A0552" w14:textId="77777777" w:rsidR="00BE1EC5" w:rsidRDefault="009F4F7C" w:rsidP="009F4F7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t xml:space="preserve">Organizačný garant pridelí každému účastníkovi kód, pod ktorým ho bude evidovať a ďalej spracovávať výsledky meraní. Kód bude zvolený tak, aby znemožnil akúkoľvek ďalšiu identifikáciu jednotlivých účastníkov, ďalšími spracovateľmi výsledkov a  užívateľmi </w:t>
      </w:r>
    </w:p>
    <w:p w14:paraId="471AA18A" w14:textId="77777777" w:rsidR="00BE1EC5" w:rsidRDefault="00BE1EC5" w:rsidP="009F4F7C">
      <w:pPr>
        <w:jc w:val="both"/>
        <w:rPr>
          <w:sz w:val="24"/>
          <w:szCs w:val="24"/>
        </w:rPr>
      </w:pPr>
    </w:p>
    <w:p w14:paraId="3E84C249" w14:textId="63B415E7" w:rsidR="009F4F7C" w:rsidRPr="009F4F7C" w:rsidRDefault="009F4F7C" w:rsidP="009F4F7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lastRenderedPageBreak/>
        <w:t>záverečnej správy.</w:t>
      </w:r>
      <w:r w:rsidRPr="009F4F7C">
        <w:rPr>
          <w:sz w:val="24"/>
          <w:szCs w:val="24"/>
          <w:shd w:val="clear" w:color="auto" w:fill="FFFFFF"/>
        </w:rPr>
        <w:t xml:space="preserve"> </w:t>
      </w:r>
      <w:r w:rsidRPr="009F4F7C">
        <w:rPr>
          <w:sz w:val="24"/>
          <w:szCs w:val="24"/>
        </w:rPr>
        <w:t>Organizátor spracuje zakódované výsledky v elektronickej forme a zabezpečí ich  vyhodnotenie. V správe o výsledkoch porovnávania budú účastníci uvedení len pod kódovým označením.</w:t>
      </w:r>
    </w:p>
    <w:p w14:paraId="061E506D" w14:textId="77777777" w:rsidR="009F4F7C" w:rsidRPr="009F4F7C" w:rsidRDefault="009F4F7C" w:rsidP="009F4F7C">
      <w:pPr>
        <w:jc w:val="both"/>
        <w:rPr>
          <w:sz w:val="16"/>
          <w:szCs w:val="16"/>
        </w:rPr>
      </w:pPr>
    </w:p>
    <w:p w14:paraId="54001A45" w14:textId="77777777" w:rsidR="009F4F7C" w:rsidRDefault="009F4F7C" w:rsidP="009F4F7C">
      <w:pPr>
        <w:jc w:val="both"/>
        <w:rPr>
          <w:sz w:val="24"/>
          <w:szCs w:val="24"/>
        </w:rPr>
      </w:pPr>
      <w:r w:rsidRPr="009F4F7C">
        <w:rPr>
          <w:sz w:val="24"/>
          <w:szCs w:val="24"/>
        </w:rPr>
        <w:t xml:space="preserve">Organizátor MLPM zabezpečí utajenie pôvodu všetkých informácií a poznatkov získaných od účastníkov. Kódové označenie účastníka bude každému účastníkovi individuálne zaslané spolu s predbežnou správou. Akékoľvek odtajnenie získaných informácií a údajov získaných od účastníkov MLPM organizátorom MLPM je možné iba na základe písomného súhlasu k odtajneniu jednotlivými účastníkmi MLPM. </w:t>
      </w:r>
    </w:p>
    <w:p w14:paraId="22FCBD82" w14:textId="77777777" w:rsidR="00264CCC" w:rsidRDefault="00264CCC" w:rsidP="009F4F7C">
      <w:pPr>
        <w:jc w:val="both"/>
        <w:rPr>
          <w:sz w:val="24"/>
          <w:szCs w:val="24"/>
        </w:rPr>
      </w:pPr>
    </w:p>
    <w:p w14:paraId="54FEE20B" w14:textId="77777777" w:rsidR="009F4F7C" w:rsidRPr="009F4F7C" w:rsidRDefault="009F4F7C" w:rsidP="009F4F7C">
      <w:pPr>
        <w:keepNext/>
        <w:outlineLvl w:val="0"/>
        <w:rPr>
          <w:sz w:val="28"/>
          <w:szCs w:val="28"/>
        </w:rPr>
      </w:pPr>
      <w:r w:rsidRPr="009F4F7C">
        <w:rPr>
          <w:sz w:val="28"/>
          <w:szCs w:val="28"/>
        </w:rPr>
        <w:t>13.  Oboznámenie účastníkov s výsledkami  MLPM</w:t>
      </w:r>
    </w:p>
    <w:p w14:paraId="51329437" w14:textId="77777777" w:rsidR="009F4F7C" w:rsidRPr="009F4F7C" w:rsidRDefault="009F4F7C" w:rsidP="009F4F7C">
      <w:pPr>
        <w:spacing w:after="120"/>
        <w:jc w:val="both"/>
        <w:rPr>
          <w:sz w:val="24"/>
          <w:szCs w:val="24"/>
        </w:rPr>
      </w:pPr>
      <w:r w:rsidRPr="009F4F7C">
        <w:rPr>
          <w:sz w:val="24"/>
          <w:szCs w:val="24"/>
        </w:rPr>
        <w:t>Organizátor MLPM spracuje predbežnú správu o výsledkoch MLPM, ktorú zašle každému účastníkovi MLPM. Do 15 dní od doručenia tejto správy účastníci  MLPM vyjadria prípadné pripomienky k textu a uvedeným výsledkom merania v predbežnej správe a tieto bezodkladne zašlú organizátorovi. Organizátor zabezpečí spracovanie záverečnej správy najneskôr do piatich týždňov od obdržania príslušných stanovísk k predbežnej správe vrátane zapracovania pripomienok účastníkov MLPM a jej zaslanie konečnej správy účastníkom MLPM.</w:t>
      </w:r>
    </w:p>
    <w:p w14:paraId="1C6CE21E" w14:textId="77777777" w:rsidR="009F4F7C" w:rsidRPr="009F4F7C" w:rsidRDefault="009F4F7C" w:rsidP="009F4F7C">
      <w:pPr>
        <w:jc w:val="both"/>
      </w:pPr>
    </w:p>
    <w:p w14:paraId="182B4E1A" w14:textId="77777777" w:rsidR="009F4F7C" w:rsidRPr="009F4F7C" w:rsidRDefault="009F4F7C" w:rsidP="009F4F7C">
      <w:pPr>
        <w:jc w:val="both"/>
      </w:pPr>
      <w:r w:rsidRPr="009F4F7C">
        <w:rPr>
          <w:sz w:val="22"/>
        </w:rPr>
        <w:t xml:space="preserve">Spracovala: Eva </w:t>
      </w:r>
      <w:proofErr w:type="spellStart"/>
      <w:r w:rsidRPr="009F4F7C">
        <w:rPr>
          <w:sz w:val="22"/>
        </w:rPr>
        <w:t>Korbeľová</w:t>
      </w:r>
      <w:proofErr w:type="spellEnd"/>
    </w:p>
    <w:p w14:paraId="505FED92" w14:textId="77777777" w:rsidR="00ED3167" w:rsidRPr="00AB1D0C" w:rsidRDefault="00ED3167" w:rsidP="009F4F7C">
      <w:pPr>
        <w:shd w:val="clear" w:color="auto" w:fill="FFFFFF"/>
        <w:rPr>
          <w:b/>
          <w:sz w:val="24"/>
          <w:u w:val="single"/>
        </w:rPr>
      </w:pPr>
    </w:p>
    <w:sectPr w:rsidR="00ED3167" w:rsidRPr="00AB1D0C" w:rsidSect="00AD4289">
      <w:headerReference w:type="default" r:id="rId12"/>
      <w:footerReference w:type="default" r:id="rId13"/>
      <w:pgSz w:w="11906" w:h="16838" w:code="9"/>
      <w:pgMar w:top="907" w:right="1416" w:bottom="340" w:left="1418" w:header="45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3AD46" w14:textId="77777777" w:rsidR="00222A74" w:rsidRDefault="00222A74">
      <w:r>
        <w:separator/>
      </w:r>
    </w:p>
  </w:endnote>
  <w:endnote w:type="continuationSeparator" w:id="0">
    <w:p w14:paraId="710B6D1D" w14:textId="77777777" w:rsidR="00222A74" w:rsidRDefault="0022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F153" w14:textId="77777777" w:rsidR="00ED3167" w:rsidRDefault="00277D08">
    <w:pPr>
      <w:pStyle w:val="Pta"/>
    </w:pPr>
    <w:r>
      <w:t>Formulár :MLPM – 0</w:t>
    </w:r>
    <w:r w:rsidR="007456FC">
      <w:t>2</w:t>
    </w:r>
  </w:p>
  <w:p w14:paraId="495FBFB0" w14:textId="77777777" w:rsidR="00ED3167" w:rsidRDefault="00ED3167">
    <w:pPr>
      <w:pStyle w:val="Pta"/>
      <w:rPr>
        <w:sz w:val="6"/>
      </w:rPr>
    </w:pPr>
  </w:p>
  <w:tbl>
    <w:tblPr>
      <w:tblW w:w="928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2126"/>
    </w:tblGrid>
    <w:tr w:rsidR="00ED3167" w14:paraId="3873220D" w14:textId="77777777" w:rsidTr="00293137">
      <w:tc>
        <w:tcPr>
          <w:tcW w:w="3614" w:type="dxa"/>
          <w:tcBorders>
            <w:top w:val="single" w:sz="12" w:space="0" w:color="auto"/>
          </w:tcBorders>
        </w:tcPr>
        <w:p w14:paraId="7949A82A" w14:textId="77777777" w:rsidR="00ED3167" w:rsidRDefault="00ED3167" w:rsidP="00301423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544" w:type="dxa"/>
          <w:tcBorders>
            <w:top w:val="single" w:sz="12" w:space="0" w:color="auto"/>
          </w:tcBorders>
        </w:tcPr>
        <w:p w14:paraId="19C53C4F" w14:textId="77777777" w:rsidR="00ED3167" w:rsidRDefault="00ED3167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</w:p>
      </w:tc>
      <w:tc>
        <w:tcPr>
          <w:tcW w:w="2126" w:type="dxa"/>
          <w:tcBorders>
            <w:top w:val="single" w:sz="12" w:space="0" w:color="auto"/>
          </w:tcBorders>
        </w:tcPr>
        <w:p w14:paraId="3EA76FA7" w14:textId="77777777" w:rsidR="00ED3167" w:rsidRPr="00563F0B" w:rsidRDefault="00563F0B" w:rsidP="00563F0B">
          <w:pPr>
            <w:tabs>
              <w:tab w:val="left" w:pos="2977"/>
              <w:tab w:val="left" w:pos="6946"/>
            </w:tabs>
            <w:ind w:right="-144"/>
            <w:jc w:val="center"/>
            <w:rPr>
              <w:sz w:val="18"/>
            </w:rPr>
          </w:pPr>
          <w:proofErr w:type="spellStart"/>
          <w:r w:rsidRPr="00563F0B">
            <w:rPr>
              <w:sz w:val="18"/>
            </w:rPr>
            <w:t>tel.č</w:t>
          </w:r>
          <w:proofErr w:type="spellEnd"/>
          <w:r w:rsidRPr="00563F0B">
            <w:rPr>
              <w:sz w:val="18"/>
            </w:rPr>
            <w:t>.</w:t>
          </w:r>
          <w:r w:rsidR="00293137">
            <w:rPr>
              <w:sz w:val="18"/>
            </w:rPr>
            <w:t xml:space="preserve">: </w:t>
          </w:r>
          <w:r w:rsidR="00832997">
            <w:rPr>
              <w:sz w:val="18"/>
            </w:rPr>
            <w:t>+421 948 925 396</w:t>
          </w:r>
        </w:p>
      </w:tc>
    </w:tr>
    <w:tr w:rsidR="00563F0B" w14:paraId="68F6A4DA" w14:textId="77777777" w:rsidTr="00293137">
      <w:tc>
        <w:tcPr>
          <w:tcW w:w="3614" w:type="dxa"/>
        </w:tcPr>
        <w:p w14:paraId="33EE1208" w14:textId="77777777" w:rsidR="00563F0B" w:rsidRDefault="00563F0B" w:rsidP="00301423">
          <w:pPr>
            <w:tabs>
              <w:tab w:val="left" w:pos="6946"/>
            </w:tabs>
            <w:rPr>
              <w:sz w:val="18"/>
            </w:rPr>
          </w:pPr>
        </w:p>
      </w:tc>
      <w:tc>
        <w:tcPr>
          <w:tcW w:w="3544" w:type="dxa"/>
        </w:tcPr>
        <w:p w14:paraId="4F36976B" w14:textId="77777777" w:rsidR="00563F0B" w:rsidRDefault="00563F0B" w:rsidP="00293137">
          <w:pPr>
            <w:tabs>
              <w:tab w:val="left" w:pos="2977"/>
              <w:tab w:val="left" w:pos="6946"/>
            </w:tabs>
            <w:ind w:left="781" w:hanging="142"/>
            <w:rPr>
              <w:sz w:val="18"/>
            </w:rPr>
          </w:pPr>
          <w:r>
            <w:rPr>
              <w:sz w:val="18"/>
            </w:rPr>
            <w:t xml:space="preserve">  </w:t>
          </w:r>
          <w:hyperlink r:id="rId2" w:history="1">
            <w:r w:rsidR="00293137"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2126" w:type="dxa"/>
        </w:tcPr>
        <w:p w14:paraId="7C5BCDE4" w14:textId="77777777" w:rsidR="00563F0B" w:rsidRDefault="00293137" w:rsidP="00293137">
          <w:pPr>
            <w:tabs>
              <w:tab w:val="left" w:pos="2977"/>
              <w:tab w:val="left" w:pos="6946"/>
            </w:tabs>
            <w:ind w:right="-144" w:firstLine="213"/>
            <w:rPr>
              <w:sz w:val="18"/>
            </w:rPr>
          </w:pPr>
          <w:r>
            <w:rPr>
              <w:sz w:val="18"/>
            </w:rPr>
            <w:t xml:space="preserve">        </w:t>
          </w:r>
          <w:r w:rsidR="00563F0B">
            <w:rPr>
              <w:sz w:val="18"/>
            </w:rPr>
            <w:t xml:space="preserve"> +421</w:t>
          </w:r>
          <w:r>
            <w:rPr>
              <w:sz w:val="18"/>
            </w:rPr>
            <w:t> 903 154 996</w:t>
          </w:r>
        </w:p>
      </w:tc>
    </w:tr>
    <w:tr w:rsidR="00ED3167" w14:paraId="223152B2" w14:textId="77777777" w:rsidTr="00293137">
      <w:tc>
        <w:tcPr>
          <w:tcW w:w="3614" w:type="dxa"/>
        </w:tcPr>
        <w:p w14:paraId="591F374E" w14:textId="5B3FF925" w:rsidR="00ED3167" w:rsidRDefault="00563F0B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Úč</w:t>
          </w:r>
          <w:r w:rsidR="00E14F4E">
            <w:rPr>
              <w:sz w:val="18"/>
            </w:rPr>
            <w:t>e</w:t>
          </w:r>
          <w:r>
            <w:rPr>
              <w:sz w:val="18"/>
            </w:rPr>
            <w:t xml:space="preserve">t č.: </w:t>
          </w:r>
          <w:r w:rsidR="00ED3167">
            <w:rPr>
              <w:sz w:val="18"/>
            </w:rPr>
            <w:t>1055578007/1111</w:t>
          </w:r>
        </w:p>
      </w:tc>
      <w:tc>
        <w:tcPr>
          <w:tcW w:w="3544" w:type="dxa"/>
        </w:tcPr>
        <w:p w14:paraId="1D998BB2" w14:textId="77777777" w:rsidR="00ED3167" w:rsidRDefault="00ED3167" w:rsidP="00301423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  <w:r>
            <w:t xml:space="preserve">   WWW </w:t>
          </w:r>
          <w:proofErr w:type="spellStart"/>
          <w:r>
            <w:t>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  <w:proofErr w:type="spellEnd"/>
          </w:hyperlink>
        </w:p>
      </w:tc>
      <w:tc>
        <w:tcPr>
          <w:tcW w:w="2126" w:type="dxa"/>
        </w:tcPr>
        <w:p w14:paraId="2690F5C5" w14:textId="77777777" w:rsidR="00ED3167" w:rsidRDefault="00ED3167" w:rsidP="00301423">
          <w:pPr>
            <w:tabs>
              <w:tab w:val="left" w:pos="3686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</w:t>
          </w:r>
        </w:p>
      </w:tc>
    </w:tr>
  </w:tbl>
  <w:p w14:paraId="593E3F1E" w14:textId="77777777" w:rsidR="00ED3167" w:rsidRDefault="00ED3167" w:rsidP="00293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F723A" w14:textId="77777777" w:rsidR="00222A74" w:rsidRDefault="00222A74">
      <w:r>
        <w:separator/>
      </w:r>
    </w:p>
  </w:footnote>
  <w:footnote w:type="continuationSeparator" w:id="0">
    <w:p w14:paraId="4CC832BF" w14:textId="77777777" w:rsidR="00222A74" w:rsidRDefault="0022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DCAEC" w14:textId="214E9588" w:rsidR="00E14F4E" w:rsidRDefault="00E14F4E"/>
  <w:p w14:paraId="5ECB350E" w14:textId="77777777" w:rsidR="00E14F4E" w:rsidRDefault="00E14F4E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ED3167" w14:paraId="5924F800" w14:textId="77777777">
      <w:tc>
        <w:tcPr>
          <w:tcW w:w="1771" w:type="dxa"/>
        </w:tcPr>
        <w:p w14:paraId="051212C7" w14:textId="77777777" w:rsidR="00ED3167" w:rsidRDefault="003E53DD">
          <w:pPr>
            <w:rPr>
              <w:sz w:val="48"/>
            </w:rPr>
          </w:pPr>
          <w:r w:rsidRPr="003E53DD">
            <w:rPr>
              <w:b/>
              <w:noProof/>
              <w:sz w:val="48"/>
            </w:rPr>
            <w:drawing>
              <wp:inline distT="0" distB="0" distL="0" distR="0" wp14:anchorId="2C73E714" wp14:editId="7574C167">
                <wp:extent cx="1009650" cy="381000"/>
                <wp:effectExtent l="19050" t="0" r="0" b="0"/>
                <wp:docPr id="7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21670B5A" w14:textId="77777777" w:rsidR="003E53DD" w:rsidRDefault="003E53DD" w:rsidP="003E53DD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092B31DF" w14:textId="77777777" w:rsidR="00ED3167" w:rsidRDefault="00645662" w:rsidP="003E53DD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>
            <w:rPr>
              <w:sz w:val="22"/>
              <w:szCs w:val="22"/>
            </w:rPr>
            <w:t xml:space="preserve">41 04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ED3167" w14:paraId="28DECEC3" w14:textId="77777777">
      <w:tc>
        <w:tcPr>
          <w:tcW w:w="9211" w:type="dxa"/>
          <w:gridSpan w:val="2"/>
        </w:tcPr>
        <w:p w14:paraId="7A4AF67B" w14:textId="77777777" w:rsidR="00ED3167" w:rsidRPr="00E14F4E" w:rsidRDefault="00ED3167">
          <w:pPr>
            <w:pBdr>
              <w:bottom w:val="single" w:sz="12" w:space="1" w:color="auto"/>
            </w:pBdr>
            <w:jc w:val="center"/>
            <w:rPr>
              <w:sz w:val="16"/>
              <w:szCs w:val="16"/>
            </w:rPr>
          </w:pPr>
        </w:p>
      </w:tc>
    </w:tr>
  </w:tbl>
  <w:p w14:paraId="06AECEE8" w14:textId="77777777" w:rsidR="00ED3167" w:rsidRDefault="00ED3167">
    <w:pPr>
      <w:pStyle w:val="Hlavika"/>
      <w:jc w:val="right"/>
      <w:rPr>
        <w:sz w:val="16"/>
      </w:rPr>
    </w:pPr>
    <w:r>
      <w:rPr>
        <w:sz w:val="16"/>
      </w:rPr>
      <w:t xml:space="preserve">Strana / počet strán:  </w:t>
    </w:r>
    <w:r w:rsidR="00E94C53"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 w:rsidR="00E94C53">
      <w:rPr>
        <w:rStyle w:val="slostrany"/>
        <w:sz w:val="16"/>
      </w:rPr>
      <w:fldChar w:fldCharType="separate"/>
    </w:r>
    <w:r w:rsidR="00096251">
      <w:rPr>
        <w:rStyle w:val="slostrany"/>
        <w:noProof/>
        <w:sz w:val="16"/>
      </w:rPr>
      <w:t>1</w:t>
    </w:r>
    <w:r w:rsidR="00E94C53"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/ </w:t>
    </w:r>
    <w:r w:rsidR="00264CCC">
      <w:rPr>
        <w:rStyle w:val="slostrany"/>
        <w:sz w:val="16"/>
      </w:rPr>
      <w:t>4</w:t>
    </w:r>
    <w:r>
      <w:rPr>
        <w:sz w:val="16"/>
      </w:rPr>
      <w:t xml:space="preserve"> </w:t>
    </w:r>
  </w:p>
  <w:p w14:paraId="7B44595E" w14:textId="77777777" w:rsidR="000E541C" w:rsidRPr="000E541C" w:rsidRDefault="000E541C">
    <w:pPr>
      <w:pStyle w:val="Hlavika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B0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94D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8F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FCD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586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4A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2B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23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4C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366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F15D1"/>
    <w:multiLevelType w:val="hybridMultilevel"/>
    <w:tmpl w:val="6082DA6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48451FD"/>
    <w:multiLevelType w:val="hybridMultilevel"/>
    <w:tmpl w:val="4314B0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5510B"/>
    <w:multiLevelType w:val="hybridMultilevel"/>
    <w:tmpl w:val="99389334"/>
    <w:lvl w:ilvl="0" w:tplc="F8706DD8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A844D4"/>
    <w:multiLevelType w:val="hybridMultilevel"/>
    <w:tmpl w:val="4314B0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E5265"/>
    <w:multiLevelType w:val="hybridMultilevel"/>
    <w:tmpl w:val="A5B20756"/>
    <w:lvl w:ilvl="0" w:tplc="05087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9409B5"/>
    <w:multiLevelType w:val="hybridMultilevel"/>
    <w:tmpl w:val="3A809842"/>
    <w:lvl w:ilvl="0" w:tplc="DE86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E646B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5"/>
    <w:rsid w:val="00004C9B"/>
    <w:rsid w:val="00005B53"/>
    <w:rsid w:val="000119E0"/>
    <w:rsid w:val="00015655"/>
    <w:rsid w:val="00074172"/>
    <w:rsid w:val="000765B3"/>
    <w:rsid w:val="000778FC"/>
    <w:rsid w:val="00096251"/>
    <w:rsid w:val="000B67DF"/>
    <w:rsid w:val="000C7709"/>
    <w:rsid w:val="000E541C"/>
    <w:rsid w:val="000F37F0"/>
    <w:rsid w:val="00103CF5"/>
    <w:rsid w:val="001173F6"/>
    <w:rsid w:val="00150AEF"/>
    <w:rsid w:val="001513D8"/>
    <w:rsid w:val="00163094"/>
    <w:rsid w:val="00164098"/>
    <w:rsid w:val="001746CF"/>
    <w:rsid w:val="00181D85"/>
    <w:rsid w:val="001A7C6E"/>
    <w:rsid w:val="001B6D83"/>
    <w:rsid w:val="001E0D3C"/>
    <w:rsid w:val="002054DA"/>
    <w:rsid w:val="00217DAD"/>
    <w:rsid w:val="0022045B"/>
    <w:rsid w:val="00222A74"/>
    <w:rsid w:val="00225680"/>
    <w:rsid w:val="00236A8A"/>
    <w:rsid w:val="002407CE"/>
    <w:rsid w:val="00245E3C"/>
    <w:rsid w:val="00253274"/>
    <w:rsid w:val="00254B35"/>
    <w:rsid w:val="00264CCC"/>
    <w:rsid w:val="00277CA5"/>
    <w:rsid w:val="00277D08"/>
    <w:rsid w:val="00293137"/>
    <w:rsid w:val="002939DF"/>
    <w:rsid w:val="00294C27"/>
    <w:rsid w:val="002A4EC9"/>
    <w:rsid w:val="002D2949"/>
    <w:rsid w:val="00301423"/>
    <w:rsid w:val="00336146"/>
    <w:rsid w:val="00340A8E"/>
    <w:rsid w:val="0034357F"/>
    <w:rsid w:val="0036761E"/>
    <w:rsid w:val="003734C1"/>
    <w:rsid w:val="003B728C"/>
    <w:rsid w:val="003D1455"/>
    <w:rsid w:val="003E53DD"/>
    <w:rsid w:val="003E7066"/>
    <w:rsid w:val="00401798"/>
    <w:rsid w:val="00404C05"/>
    <w:rsid w:val="00411FC1"/>
    <w:rsid w:val="00430CD5"/>
    <w:rsid w:val="00434EC2"/>
    <w:rsid w:val="0043630F"/>
    <w:rsid w:val="00446FB7"/>
    <w:rsid w:val="004611CB"/>
    <w:rsid w:val="0047071B"/>
    <w:rsid w:val="00475731"/>
    <w:rsid w:val="004A0325"/>
    <w:rsid w:val="004D3DBC"/>
    <w:rsid w:val="004E52B9"/>
    <w:rsid w:val="00501B42"/>
    <w:rsid w:val="0051129E"/>
    <w:rsid w:val="005227C3"/>
    <w:rsid w:val="00531B87"/>
    <w:rsid w:val="005521A1"/>
    <w:rsid w:val="005555B2"/>
    <w:rsid w:val="005565D7"/>
    <w:rsid w:val="0056377C"/>
    <w:rsid w:val="00563F0B"/>
    <w:rsid w:val="005867F8"/>
    <w:rsid w:val="005C238E"/>
    <w:rsid w:val="005C51AC"/>
    <w:rsid w:val="005E514F"/>
    <w:rsid w:val="006140DC"/>
    <w:rsid w:val="00617A66"/>
    <w:rsid w:val="00625141"/>
    <w:rsid w:val="006448EB"/>
    <w:rsid w:val="00645662"/>
    <w:rsid w:val="00647A1E"/>
    <w:rsid w:val="006632B1"/>
    <w:rsid w:val="00663898"/>
    <w:rsid w:val="0067265E"/>
    <w:rsid w:val="006810C1"/>
    <w:rsid w:val="0068358C"/>
    <w:rsid w:val="00684BEB"/>
    <w:rsid w:val="0069082C"/>
    <w:rsid w:val="006948E4"/>
    <w:rsid w:val="006A692E"/>
    <w:rsid w:val="006B52E2"/>
    <w:rsid w:val="006C489E"/>
    <w:rsid w:val="006D7AC2"/>
    <w:rsid w:val="006D7E5D"/>
    <w:rsid w:val="00707632"/>
    <w:rsid w:val="00736FFB"/>
    <w:rsid w:val="007456FC"/>
    <w:rsid w:val="00762587"/>
    <w:rsid w:val="00773473"/>
    <w:rsid w:val="00792E3B"/>
    <w:rsid w:val="007C3881"/>
    <w:rsid w:val="007F4BBB"/>
    <w:rsid w:val="00800999"/>
    <w:rsid w:val="00802E82"/>
    <w:rsid w:val="00831DA2"/>
    <w:rsid w:val="00832997"/>
    <w:rsid w:val="00855D1D"/>
    <w:rsid w:val="008727CB"/>
    <w:rsid w:val="00880032"/>
    <w:rsid w:val="00890824"/>
    <w:rsid w:val="00896CC7"/>
    <w:rsid w:val="008C7A25"/>
    <w:rsid w:val="008D0560"/>
    <w:rsid w:val="008E2270"/>
    <w:rsid w:val="008E6815"/>
    <w:rsid w:val="00944D5F"/>
    <w:rsid w:val="00945DF7"/>
    <w:rsid w:val="00951D64"/>
    <w:rsid w:val="00953321"/>
    <w:rsid w:val="00956990"/>
    <w:rsid w:val="00967769"/>
    <w:rsid w:val="00975F99"/>
    <w:rsid w:val="00993F4A"/>
    <w:rsid w:val="009C67E3"/>
    <w:rsid w:val="009D4ECF"/>
    <w:rsid w:val="009F177A"/>
    <w:rsid w:val="009F4F7C"/>
    <w:rsid w:val="009F5828"/>
    <w:rsid w:val="00A201C5"/>
    <w:rsid w:val="00A40261"/>
    <w:rsid w:val="00A57E1E"/>
    <w:rsid w:val="00A60B97"/>
    <w:rsid w:val="00A70494"/>
    <w:rsid w:val="00A70884"/>
    <w:rsid w:val="00A80EE2"/>
    <w:rsid w:val="00A97BAE"/>
    <w:rsid w:val="00AB041D"/>
    <w:rsid w:val="00AB1D0C"/>
    <w:rsid w:val="00AC60DE"/>
    <w:rsid w:val="00AD4289"/>
    <w:rsid w:val="00B0072E"/>
    <w:rsid w:val="00B24612"/>
    <w:rsid w:val="00B24EB6"/>
    <w:rsid w:val="00B25ACA"/>
    <w:rsid w:val="00B30B2F"/>
    <w:rsid w:val="00B3253B"/>
    <w:rsid w:val="00B3436A"/>
    <w:rsid w:val="00B42A9D"/>
    <w:rsid w:val="00B43722"/>
    <w:rsid w:val="00B70688"/>
    <w:rsid w:val="00B90AEB"/>
    <w:rsid w:val="00BB1E06"/>
    <w:rsid w:val="00BE1EC5"/>
    <w:rsid w:val="00BF258C"/>
    <w:rsid w:val="00C11B55"/>
    <w:rsid w:val="00C4082C"/>
    <w:rsid w:val="00C53527"/>
    <w:rsid w:val="00C635E4"/>
    <w:rsid w:val="00C742CA"/>
    <w:rsid w:val="00C75B3F"/>
    <w:rsid w:val="00C75D10"/>
    <w:rsid w:val="00CA5AD1"/>
    <w:rsid w:val="00CC1EB6"/>
    <w:rsid w:val="00CE7B27"/>
    <w:rsid w:val="00D00F7C"/>
    <w:rsid w:val="00D03DC7"/>
    <w:rsid w:val="00D06C5F"/>
    <w:rsid w:val="00D27395"/>
    <w:rsid w:val="00D278E5"/>
    <w:rsid w:val="00D30704"/>
    <w:rsid w:val="00D32A99"/>
    <w:rsid w:val="00D34076"/>
    <w:rsid w:val="00D76707"/>
    <w:rsid w:val="00D915B6"/>
    <w:rsid w:val="00D95C68"/>
    <w:rsid w:val="00DC418A"/>
    <w:rsid w:val="00DD779A"/>
    <w:rsid w:val="00E009CA"/>
    <w:rsid w:val="00E14F4E"/>
    <w:rsid w:val="00E265C6"/>
    <w:rsid w:val="00E44053"/>
    <w:rsid w:val="00E51D3C"/>
    <w:rsid w:val="00E53896"/>
    <w:rsid w:val="00E5623C"/>
    <w:rsid w:val="00E92BBE"/>
    <w:rsid w:val="00E94C53"/>
    <w:rsid w:val="00EB0F4A"/>
    <w:rsid w:val="00EC1784"/>
    <w:rsid w:val="00ED3167"/>
    <w:rsid w:val="00EE3442"/>
    <w:rsid w:val="00EF1DD9"/>
    <w:rsid w:val="00F069E7"/>
    <w:rsid w:val="00F15A36"/>
    <w:rsid w:val="00F15FA4"/>
    <w:rsid w:val="00F46609"/>
    <w:rsid w:val="00F53B0A"/>
    <w:rsid w:val="00F5416B"/>
    <w:rsid w:val="00F6035B"/>
    <w:rsid w:val="00F65051"/>
    <w:rsid w:val="00F77B2E"/>
    <w:rsid w:val="00F96A7A"/>
    <w:rsid w:val="00F974AC"/>
    <w:rsid w:val="00FA1F52"/>
    <w:rsid w:val="00FA2487"/>
    <w:rsid w:val="00FA4416"/>
    <w:rsid w:val="00FC2C41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8889129"/>
  <w15:docId w15:val="{040AC7B8-CF3E-4517-A732-736B236D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A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qFormat/>
    <w:rsid w:val="00B42A9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42A9D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2A9D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42A9D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42A9D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42A9D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4D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D4D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D4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4D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D4D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D4D62"/>
    <w:rPr>
      <w:rFonts w:asciiTheme="minorHAnsi" w:eastAsiaTheme="minorEastAsia" w:hAnsiTheme="minorHAnsi" w:cstheme="minorBidi"/>
      <w:b/>
      <w:bCs/>
    </w:rPr>
  </w:style>
  <w:style w:type="paragraph" w:styleId="Hlavika">
    <w:name w:val="header"/>
    <w:basedOn w:val="Normlny"/>
    <w:link w:val="Hlavik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4D62"/>
    <w:rPr>
      <w:sz w:val="20"/>
      <w:szCs w:val="20"/>
    </w:rPr>
  </w:style>
  <w:style w:type="paragraph" w:styleId="Pta">
    <w:name w:val="footer"/>
    <w:basedOn w:val="Normlny"/>
    <w:link w:val="Pt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57E1E"/>
    <w:rPr>
      <w:rFonts w:cs="Times New Roman"/>
    </w:rPr>
  </w:style>
  <w:style w:type="character" w:styleId="slostrany">
    <w:name w:val="page number"/>
    <w:basedOn w:val="Predvolenpsmoodseku"/>
    <w:uiPriority w:val="99"/>
    <w:semiHidden/>
    <w:rsid w:val="00B42A9D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42A9D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BD4D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kladntext21">
    <w:name w:val="Základný text 21"/>
    <w:basedOn w:val="Normlny"/>
    <w:uiPriority w:val="99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basedOn w:val="Predvolenpsmoodseku"/>
    <w:uiPriority w:val="99"/>
    <w:rsid w:val="0036761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D27395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27395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44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D62"/>
    <w:rPr>
      <w:sz w:val="0"/>
      <w:szCs w:val="0"/>
    </w:rPr>
  </w:style>
  <w:style w:type="paragraph" w:styleId="Zkladntext3">
    <w:name w:val="Body Text 3"/>
    <w:basedOn w:val="Normlny"/>
    <w:link w:val="Zkladntext3Char"/>
    <w:uiPriority w:val="99"/>
    <w:rsid w:val="002939D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939DF"/>
    <w:rPr>
      <w:sz w:val="16"/>
      <w:szCs w:val="16"/>
    </w:rPr>
  </w:style>
  <w:style w:type="table" w:styleId="Mriekatabuky">
    <w:name w:val="Table Grid"/>
    <w:basedOn w:val="Normlnatabuka"/>
    <w:semiHidden/>
    <w:locked/>
    <w:rsid w:val="000E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pm@kzsr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D988-75C8-4CBE-964A-DE4C4DC2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Skúšky spôsobilosti</vt:lpstr>
    </vt:vector>
  </TitlesOfParts>
  <Company>Ska-Tec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Q-TEST</dc:creator>
  <cp:lastModifiedBy>Eva Korbelova</cp:lastModifiedBy>
  <cp:revision>2</cp:revision>
  <cp:lastPrinted>2019-12-06T12:58:00Z</cp:lastPrinted>
  <dcterms:created xsi:type="dcterms:W3CDTF">2021-03-31T20:59:00Z</dcterms:created>
  <dcterms:modified xsi:type="dcterms:W3CDTF">2021-03-31T20:59:00Z</dcterms:modified>
</cp:coreProperties>
</file>